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590" w:type="dxa"/>
        <w:tblInd w:w="-725" w:type="dxa"/>
        <w:tblLook w:val="04A0" w:firstRow="1" w:lastRow="0" w:firstColumn="1" w:lastColumn="0" w:noHBand="0" w:noVBand="1"/>
      </w:tblPr>
      <w:tblGrid>
        <w:gridCol w:w="540"/>
        <w:gridCol w:w="4167"/>
        <w:gridCol w:w="3753"/>
        <w:gridCol w:w="5130"/>
      </w:tblGrid>
      <w:tr w:rsidR="006737A1" w14:paraId="78B41C1D" w14:textId="77777777" w:rsidTr="00857CAF">
        <w:tc>
          <w:tcPr>
            <w:tcW w:w="13590" w:type="dxa"/>
            <w:gridSpan w:val="4"/>
            <w:shd w:val="clear" w:color="auto" w:fill="FFCC00"/>
          </w:tcPr>
          <w:p w14:paraId="157305D9" w14:textId="77777777" w:rsidR="006737A1" w:rsidRPr="006737A1" w:rsidRDefault="001F76D1" w:rsidP="00571EF1">
            <w:pPr>
              <w:rPr>
                <w:b/>
                <w:sz w:val="32"/>
                <w:szCs w:val="32"/>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ONE: </w:t>
            </w:r>
            <w:r w:rsidR="006737A1" w:rsidRPr="006737A1">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REQUIREMENTS FOR USES OF FUNDS</w:t>
            </w:r>
            <w:r w:rsidR="00A86FAD">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Provide your summary of requests in this section and be sure to address</w:t>
            </w:r>
            <w:r w:rsidR="007F35B5">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w:t>
            </w:r>
            <w:r w:rsidR="00A86FAD">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Continuous Improvement Goals</w:t>
            </w:r>
            <w:r w:rsidR="007F35B5">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are relevant.</w:t>
            </w:r>
          </w:p>
        </w:tc>
      </w:tr>
      <w:tr w:rsidR="00571EF1" w14:paraId="13E27420" w14:textId="77777777" w:rsidTr="00857CAF">
        <w:tc>
          <w:tcPr>
            <w:tcW w:w="540" w:type="dxa"/>
            <w:shd w:val="clear" w:color="auto" w:fill="8DB3E2" w:themeFill="text2" w:themeFillTint="66"/>
          </w:tcPr>
          <w:p w14:paraId="30A76CE9" w14:textId="77777777" w:rsidR="00571EF1" w:rsidRDefault="00571EF1" w:rsidP="00C05EB1">
            <w:pPr>
              <w:jc w:val="center"/>
            </w:pPr>
          </w:p>
        </w:tc>
        <w:tc>
          <w:tcPr>
            <w:tcW w:w="4167" w:type="dxa"/>
          </w:tcPr>
          <w:p w14:paraId="220A0189" w14:textId="77777777" w:rsidR="00A86FAD" w:rsidRPr="00A86FAD" w:rsidRDefault="00A86FAD" w:rsidP="00A86FAD">
            <w:pPr>
              <w:jc w:val="center"/>
              <w:rPr>
                <w:b/>
                <w:sz w:val="28"/>
              </w:rPr>
            </w:pPr>
          </w:p>
          <w:p w14:paraId="74E9A4E8" w14:textId="77777777" w:rsidR="00A86FAD" w:rsidRPr="00A86FAD" w:rsidRDefault="00A86FAD" w:rsidP="00A86FAD">
            <w:pPr>
              <w:jc w:val="center"/>
              <w:rPr>
                <w:b/>
                <w:sz w:val="28"/>
              </w:rPr>
            </w:pPr>
          </w:p>
          <w:p w14:paraId="426844B4" w14:textId="77777777" w:rsidR="00A86FAD" w:rsidRPr="00A86FAD" w:rsidRDefault="00A86FAD" w:rsidP="00A86FAD">
            <w:pPr>
              <w:jc w:val="center"/>
              <w:rPr>
                <w:b/>
                <w:sz w:val="28"/>
              </w:rPr>
            </w:pPr>
          </w:p>
          <w:p w14:paraId="352080F0" w14:textId="77777777" w:rsidR="00A86FAD" w:rsidRPr="00A86FAD" w:rsidRDefault="00A86FAD" w:rsidP="00A86FAD">
            <w:pPr>
              <w:jc w:val="center"/>
              <w:rPr>
                <w:b/>
                <w:sz w:val="28"/>
              </w:rPr>
            </w:pPr>
          </w:p>
          <w:p w14:paraId="3AFF3EF8" w14:textId="77777777" w:rsidR="00571EF1" w:rsidRPr="00A86FAD" w:rsidRDefault="00A86FAD" w:rsidP="00A86FAD">
            <w:pPr>
              <w:jc w:val="center"/>
              <w:rPr>
                <w:b/>
                <w:sz w:val="28"/>
              </w:rPr>
            </w:pPr>
            <w:r w:rsidRPr="00A86FAD">
              <w:rPr>
                <w:b/>
                <w:sz w:val="28"/>
              </w:rPr>
              <w:t>Continuous</w:t>
            </w:r>
            <w:r w:rsidR="00E36CED">
              <w:rPr>
                <w:b/>
                <w:sz w:val="28"/>
              </w:rPr>
              <w:t xml:space="preserve"> Program</w:t>
            </w:r>
            <w:r w:rsidRPr="00A86FAD">
              <w:rPr>
                <w:b/>
                <w:sz w:val="28"/>
              </w:rPr>
              <w:t xml:space="preserve"> Improvement Goals</w:t>
            </w:r>
          </w:p>
        </w:tc>
        <w:tc>
          <w:tcPr>
            <w:tcW w:w="3753" w:type="dxa"/>
            <w:vAlign w:val="center"/>
          </w:tcPr>
          <w:p w14:paraId="6D1F8A61" w14:textId="77777777" w:rsidR="00571EF1" w:rsidRPr="001F76D1" w:rsidRDefault="00571EF1" w:rsidP="006737A1">
            <w:pPr>
              <w:jc w:val="center"/>
              <w:rPr>
                <w:b/>
                <w:sz w:val="28"/>
                <w:szCs w:val="28"/>
              </w:rPr>
            </w:pPr>
            <w:r w:rsidRPr="001F76D1">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Activities that Meet Requirements</w:t>
            </w:r>
          </w:p>
        </w:tc>
        <w:tc>
          <w:tcPr>
            <w:tcW w:w="5130" w:type="dxa"/>
            <w:vAlign w:val="center"/>
          </w:tcPr>
          <w:p w14:paraId="6E0CA6B8" w14:textId="77777777" w:rsidR="00571EF1" w:rsidRPr="006737A1" w:rsidRDefault="00571EF1" w:rsidP="006737A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37A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Continuous</w:t>
            </w:r>
            <w:r w:rsidR="00E36CE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w:t>
            </w:r>
            <w:r w:rsidRPr="006737A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Improvement Goals:  SMART</w:t>
            </w:r>
          </w:p>
          <w:p w14:paraId="7664C7DE" w14:textId="77777777" w:rsidR="00571EF1" w:rsidRDefault="00571EF1" w:rsidP="006737A1">
            <w:r w:rsidRPr="001F76D1">
              <w:rPr>
                <w:b/>
                <w:color w:val="E2AC00"/>
              </w:rPr>
              <w:t>Specific</w:t>
            </w:r>
            <w:r w:rsidRPr="001F76D1">
              <w:rPr>
                <w:color w:val="E2AC00"/>
              </w:rPr>
              <w:t>:</w:t>
            </w:r>
            <w:r>
              <w:t xml:space="preserve">  Target a specific are</w:t>
            </w:r>
            <w:r w:rsidR="006737A1">
              <w:t>a</w:t>
            </w:r>
            <w:r>
              <w:t xml:space="preserve"> for improvement</w:t>
            </w:r>
          </w:p>
          <w:p w14:paraId="13548690" w14:textId="77777777" w:rsidR="006737A1" w:rsidRDefault="006737A1" w:rsidP="006737A1">
            <w:r w:rsidRPr="001F76D1">
              <w:rPr>
                <w:b/>
                <w:color w:val="E2AC00"/>
              </w:rPr>
              <w:t>Measurable</w:t>
            </w:r>
            <w:r w:rsidRPr="001F76D1">
              <w:rPr>
                <w:color w:val="E2AC00"/>
              </w:rPr>
              <w:t>:</w:t>
            </w:r>
            <w:r>
              <w:t xml:space="preserve">  Quantify.  List an indicator(s) of progress.</w:t>
            </w:r>
          </w:p>
          <w:p w14:paraId="2CBAFFFB" w14:textId="77777777" w:rsidR="006737A1" w:rsidRDefault="006737A1" w:rsidP="006737A1">
            <w:r w:rsidRPr="001F76D1">
              <w:rPr>
                <w:b/>
                <w:color w:val="E2AC00"/>
              </w:rPr>
              <w:t>Agreed Upon</w:t>
            </w:r>
            <w:r w:rsidRPr="001F76D1">
              <w:rPr>
                <w:color w:val="E2AC00"/>
              </w:rPr>
              <w:t xml:space="preserve">:  </w:t>
            </w:r>
            <w:r>
              <w:t>Specify who will do it.</w:t>
            </w:r>
          </w:p>
          <w:p w14:paraId="1CFB0678" w14:textId="77777777" w:rsidR="006737A1" w:rsidRDefault="006737A1" w:rsidP="006737A1">
            <w:r w:rsidRPr="00E60478">
              <w:rPr>
                <w:b/>
                <w:color w:val="E2AC00"/>
              </w:rPr>
              <w:t>Realistic</w:t>
            </w:r>
            <w:r w:rsidRPr="00E60478">
              <w:rPr>
                <w:color w:val="E2AC00"/>
              </w:rPr>
              <w:t>:</w:t>
            </w:r>
            <w:r>
              <w:t xml:space="preserve"> Is this scalable given available resources?</w:t>
            </w:r>
          </w:p>
          <w:p w14:paraId="6533EB9B" w14:textId="77777777" w:rsidR="006737A1" w:rsidRDefault="006737A1" w:rsidP="006737A1">
            <w:r w:rsidRPr="00E60478">
              <w:rPr>
                <w:b/>
                <w:color w:val="E2AC00"/>
              </w:rPr>
              <w:t>Time-related</w:t>
            </w:r>
            <w:r w:rsidRPr="00E60478">
              <w:rPr>
                <w:color w:val="E2AC00"/>
              </w:rPr>
              <w:t xml:space="preserve">:  </w:t>
            </w:r>
            <w:r>
              <w:t>Wha</w:t>
            </w:r>
            <w:r w:rsidR="00770B6D">
              <w:t>t results can be achieve</w:t>
            </w:r>
            <w:r w:rsidR="00E4424C">
              <w:t>d</w:t>
            </w:r>
            <w:r w:rsidR="00770B6D">
              <w:t xml:space="preserve"> in FY</w:t>
            </w:r>
            <w:r w:rsidR="002A50DA">
              <w:t>2</w:t>
            </w:r>
            <w:r w:rsidR="007F35B5">
              <w:t>3</w:t>
            </w:r>
            <w:r>
              <w:t>?</w:t>
            </w:r>
          </w:p>
        </w:tc>
      </w:tr>
      <w:tr w:rsidR="00571EF1" w14:paraId="0622B0E7" w14:textId="77777777" w:rsidTr="00857CAF">
        <w:tc>
          <w:tcPr>
            <w:tcW w:w="540" w:type="dxa"/>
            <w:shd w:val="clear" w:color="auto" w:fill="8DB3E2" w:themeFill="text2" w:themeFillTint="66"/>
          </w:tcPr>
          <w:p w14:paraId="718DA8CB" w14:textId="77777777" w:rsidR="00571EF1" w:rsidRPr="00635FA1" w:rsidRDefault="00571EF1" w:rsidP="00C05EB1">
            <w:pPr>
              <w:jc w:val="center"/>
              <w:rPr>
                <w:b/>
                <w:sz w:val="28"/>
                <w:szCs w:val="28"/>
              </w:rPr>
            </w:pPr>
            <w:r w:rsidRPr="00635FA1">
              <w:rPr>
                <w:b/>
                <w:sz w:val="28"/>
                <w:szCs w:val="28"/>
              </w:rPr>
              <w:t>1</w:t>
            </w:r>
          </w:p>
        </w:tc>
        <w:tc>
          <w:tcPr>
            <w:tcW w:w="4167" w:type="dxa"/>
          </w:tcPr>
          <w:p w14:paraId="62916449" w14:textId="77777777" w:rsidR="00571EF1" w:rsidRDefault="001F76D1" w:rsidP="00135A34">
            <w:r>
              <w:t>Strengthen</w:t>
            </w:r>
            <w:r w:rsidR="00571EF1">
              <w:t xml:space="preserve"> the academic, and career and technical skill of students participating in CTE programs through the integration of academics with CTE programs.</w:t>
            </w:r>
          </w:p>
        </w:tc>
        <w:tc>
          <w:tcPr>
            <w:tcW w:w="3753" w:type="dxa"/>
          </w:tcPr>
          <w:p w14:paraId="7EC13E20" w14:textId="77777777" w:rsidR="00571EF1" w:rsidRDefault="00571EF1" w:rsidP="00135A34"/>
        </w:tc>
        <w:tc>
          <w:tcPr>
            <w:tcW w:w="5130" w:type="dxa"/>
          </w:tcPr>
          <w:p w14:paraId="56794A42" w14:textId="77777777" w:rsidR="00571EF1" w:rsidRDefault="00571EF1" w:rsidP="00135A34"/>
        </w:tc>
      </w:tr>
      <w:tr w:rsidR="00571EF1" w14:paraId="132F660E" w14:textId="77777777" w:rsidTr="00857CAF">
        <w:tc>
          <w:tcPr>
            <w:tcW w:w="540" w:type="dxa"/>
            <w:shd w:val="clear" w:color="auto" w:fill="8DB3E2" w:themeFill="text2" w:themeFillTint="66"/>
          </w:tcPr>
          <w:p w14:paraId="7BE9491C" w14:textId="77777777" w:rsidR="00571EF1" w:rsidRPr="00635FA1" w:rsidRDefault="00571EF1" w:rsidP="00C05EB1">
            <w:pPr>
              <w:jc w:val="center"/>
              <w:rPr>
                <w:b/>
                <w:sz w:val="28"/>
                <w:szCs w:val="28"/>
              </w:rPr>
            </w:pPr>
            <w:r w:rsidRPr="00635FA1">
              <w:rPr>
                <w:b/>
                <w:sz w:val="28"/>
                <w:szCs w:val="28"/>
              </w:rPr>
              <w:t>2</w:t>
            </w:r>
          </w:p>
        </w:tc>
        <w:tc>
          <w:tcPr>
            <w:tcW w:w="4167" w:type="dxa"/>
          </w:tcPr>
          <w:p w14:paraId="3FA6A40B" w14:textId="77777777" w:rsidR="00571EF1" w:rsidRDefault="006737A1" w:rsidP="00135A34">
            <w:r>
              <w:t xml:space="preserve">Link CTE at the secondary and the </w:t>
            </w:r>
            <w:r w:rsidR="00A86FAD">
              <w:t>postsecondary levels.</w:t>
            </w:r>
          </w:p>
        </w:tc>
        <w:tc>
          <w:tcPr>
            <w:tcW w:w="3753" w:type="dxa"/>
          </w:tcPr>
          <w:p w14:paraId="76F010FC" w14:textId="77777777" w:rsidR="00571EF1" w:rsidRDefault="00571EF1" w:rsidP="00135A34"/>
        </w:tc>
        <w:tc>
          <w:tcPr>
            <w:tcW w:w="5130" w:type="dxa"/>
          </w:tcPr>
          <w:p w14:paraId="72C88F53" w14:textId="77777777" w:rsidR="00571EF1" w:rsidRDefault="00571EF1" w:rsidP="00135A34"/>
        </w:tc>
      </w:tr>
      <w:tr w:rsidR="00571EF1" w14:paraId="450E0440" w14:textId="77777777" w:rsidTr="00857CAF">
        <w:tc>
          <w:tcPr>
            <w:tcW w:w="540" w:type="dxa"/>
            <w:shd w:val="clear" w:color="auto" w:fill="8DB3E2" w:themeFill="text2" w:themeFillTint="66"/>
          </w:tcPr>
          <w:p w14:paraId="1C6AE727" w14:textId="77777777" w:rsidR="00571EF1" w:rsidRPr="00635FA1" w:rsidRDefault="00571EF1" w:rsidP="00C05EB1">
            <w:pPr>
              <w:jc w:val="center"/>
              <w:rPr>
                <w:b/>
                <w:sz w:val="28"/>
                <w:szCs w:val="28"/>
              </w:rPr>
            </w:pPr>
            <w:r w:rsidRPr="00635FA1">
              <w:rPr>
                <w:b/>
                <w:sz w:val="28"/>
                <w:szCs w:val="28"/>
              </w:rPr>
              <w:t>3</w:t>
            </w:r>
          </w:p>
        </w:tc>
        <w:tc>
          <w:tcPr>
            <w:tcW w:w="4167" w:type="dxa"/>
          </w:tcPr>
          <w:p w14:paraId="4C328242" w14:textId="77777777" w:rsidR="00571EF1" w:rsidRDefault="006737A1" w:rsidP="00135A34">
            <w:r>
              <w:t>Provide students with strong experience in and understanding of all aspects of an industry, which may include work-based learning experiences.</w:t>
            </w:r>
          </w:p>
        </w:tc>
        <w:tc>
          <w:tcPr>
            <w:tcW w:w="3753" w:type="dxa"/>
          </w:tcPr>
          <w:p w14:paraId="48BBF591" w14:textId="77777777" w:rsidR="00571EF1" w:rsidRDefault="00571EF1" w:rsidP="00135A34"/>
        </w:tc>
        <w:tc>
          <w:tcPr>
            <w:tcW w:w="5130" w:type="dxa"/>
          </w:tcPr>
          <w:p w14:paraId="6DC8A27A" w14:textId="77777777" w:rsidR="00571EF1" w:rsidRDefault="00571EF1" w:rsidP="00135A34"/>
        </w:tc>
      </w:tr>
      <w:tr w:rsidR="00571EF1" w14:paraId="6F1F9439" w14:textId="77777777" w:rsidTr="00857CAF">
        <w:tc>
          <w:tcPr>
            <w:tcW w:w="540" w:type="dxa"/>
            <w:shd w:val="clear" w:color="auto" w:fill="8DB3E2" w:themeFill="text2" w:themeFillTint="66"/>
          </w:tcPr>
          <w:p w14:paraId="45C5F4AD" w14:textId="77777777" w:rsidR="00571EF1" w:rsidRPr="00635FA1" w:rsidRDefault="00571EF1" w:rsidP="00C05EB1">
            <w:pPr>
              <w:jc w:val="center"/>
              <w:rPr>
                <w:b/>
                <w:sz w:val="28"/>
                <w:szCs w:val="28"/>
              </w:rPr>
            </w:pPr>
            <w:r w:rsidRPr="00635FA1">
              <w:rPr>
                <w:b/>
                <w:sz w:val="28"/>
                <w:szCs w:val="28"/>
              </w:rPr>
              <w:lastRenderedPageBreak/>
              <w:t>4</w:t>
            </w:r>
          </w:p>
        </w:tc>
        <w:tc>
          <w:tcPr>
            <w:tcW w:w="4167" w:type="dxa"/>
          </w:tcPr>
          <w:p w14:paraId="56485A20" w14:textId="77777777" w:rsidR="00571EF1" w:rsidRDefault="006737A1" w:rsidP="00135A34">
            <w:r>
              <w:t>Develop, improve, or expand the use of technology in CTE, which may include training to use technology, providing students with the skills needed to enter technology fields, and encouraging schools to collaborate with technology industries to offer internships and mentoring programs.</w:t>
            </w:r>
          </w:p>
        </w:tc>
        <w:tc>
          <w:tcPr>
            <w:tcW w:w="3753" w:type="dxa"/>
          </w:tcPr>
          <w:p w14:paraId="30B67031" w14:textId="77777777" w:rsidR="00571EF1" w:rsidRDefault="00571EF1" w:rsidP="00135A34"/>
        </w:tc>
        <w:tc>
          <w:tcPr>
            <w:tcW w:w="5130" w:type="dxa"/>
          </w:tcPr>
          <w:p w14:paraId="61FAD739" w14:textId="77777777" w:rsidR="00571EF1" w:rsidRDefault="00571EF1" w:rsidP="00135A34"/>
        </w:tc>
      </w:tr>
      <w:tr w:rsidR="00571EF1" w14:paraId="31309C33" w14:textId="77777777" w:rsidTr="00857CAF">
        <w:tc>
          <w:tcPr>
            <w:tcW w:w="540" w:type="dxa"/>
            <w:shd w:val="clear" w:color="auto" w:fill="8DB3E2" w:themeFill="text2" w:themeFillTint="66"/>
          </w:tcPr>
          <w:p w14:paraId="29864BD7" w14:textId="77777777" w:rsidR="00571EF1" w:rsidRPr="00635FA1" w:rsidRDefault="00571EF1" w:rsidP="00C05EB1">
            <w:pPr>
              <w:jc w:val="center"/>
              <w:rPr>
                <w:b/>
                <w:sz w:val="28"/>
                <w:szCs w:val="28"/>
              </w:rPr>
            </w:pPr>
            <w:r w:rsidRPr="00635FA1">
              <w:rPr>
                <w:b/>
                <w:sz w:val="28"/>
                <w:szCs w:val="28"/>
              </w:rPr>
              <w:t>5</w:t>
            </w:r>
          </w:p>
        </w:tc>
        <w:tc>
          <w:tcPr>
            <w:tcW w:w="4167" w:type="dxa"/>
          </w:tcPr>
          <w:p w14:paraId="201837C5" w14:textId="77777777" w:rsidR="00571EF1" w:rsidRDefault="006737A1" w:rsidP="00135A34">
            <w:r>
              <w:t xml:space="preserve">Provide in-service and pre-service </w:t>
            </w:r>
            <w:r w:rsidR="0041672E">
              <w:t xml:space="preserve">professional development programs to faculty, administrators, and career guidance and academic counselors involved in integrated CTE programs, on topics including effective integration of academics and CTE, effective teaching skills based on research, effective practices to improve parental and community involvement, effective use of scientifically based research and data to improve instruction.  Professional development should also ensure that faculty and personnel stay current with all aspects of an industry, involve internship programs that provide relevant business experience; and </w:t>
            </w:r>
            <w:r w:rsidR="0041672E">
              <w:lastRenderedPageBreak/>
              <w:t>train faculty in the effective use and application of technology.</w:t>
            </w:r>
          </w:p>
        </w:tc>
        <w:tc>
          <w:tcPr>
            <w:tcW w:w="3753" w:type="dxa"/>
          </w:tcPr>
          <w:p w14:paraId="5C20510A" w14:textId="77777777" w:rsidR="00571EF1" w:rsidRDefault="00571EF1" w:rsidP="00135A34"/>
        </w:tc>
        <w:tc>
          <w:tcPr>
            <w:tcW w:w="5130" w:type="dxa"/>
          </w:tcPr>
          <w:p w14:paraId="5ED1C99E" w14:textId="77777777" w:rsidR="00571EF1" w:rsidRDefault="00571EF1" w:rsidP="00135A34"/>
        </w:tc>
      </w:tr>
      <w:tr w:rsidR="00571EF1" w14:paraId="19D6408D" w14:textId="77777777" w:rsidTr="00857CAF">
        <w:tc>
          <w:tcPr>
            <w:tcW w:w="540" w:type="dxa"/>
            <w:shd w:val="clear" w:color="auto" w:fill="8DB3E2" w:themeFill="text2" w:themeFillTint="66"/>
          </w:tcPr>
          <w:p w14:paraId="30E51649" w14:textId="77777777" w:rsidR="00571EF1" w:rsidRPr="00635FA1" w:rsidRDefault="00571EF1" w:rsidP="00C05EB1">
            <w:pPr>
              <w:jc w:val="center"/>
              <w:rPr>
                <w:b/>
                <w:sz w:val="28"/>
                <w:szCs w:val="28"/>
              </w:rPr>
            </w:pPr>
            <w:r w:rsidRPr="00635FA1">
              <w:rPr>
                <w:b/>
                <w:sz w:val="28"/>
                <w:szCs w:val="28"/>
              </w:rPr>
              <w:t>6</w:t>
            </w:r>
          </w:p>
        </w:tc>
        <w:tc>
          <w:tcPr>
            <w:tcW w:w="4167" w:type="dxa"/>
          </w:tcPr>
          <w:p w14:paraId="5F94CC7A" w14:textId="77777777" w:rsidR="00571EF1" w:rsidRDefault="0041672E" w:rsidP="00135A34">
            <w:r>
              <w:t xml:space="preserve">Develop and implement evaluations of the CTE programs carried out with Perkins </w:t>
            </w:r>
            <w:r w:rsidR="00843A55">
              <w:t>V</w:t>
            </w:r>
            <w:r>
              <w:t xml:space="preserve"> funds, including an assessment of how the needs of special populations are being met.</w:t>
            </w:r>
          </w:p>
        </w:tc>
        <w:tc>
          <w:tcPr>
            <w:tcW w:w="3753" w:type="dxa"/>
          </w:tcPr>
          <w:p w14:paraId="6A755BFB" w14:textId="77777777" w:rsidR="00571EF1" w:rsidRDefault="00571EF1" w:rsidP="00135A34"/>
        </w:tc>
        <w:tc>
          <w:tcPr>
            <w:tcW w:w="5130" w:type="dxa"/>
          </w:tcPr>
          <w:p w14:paraId="33568919" w14:textId="77777777" w:rsidR="00571EF1" w:rsidRDefault="00571EF1" w:rsidP="00135A34"/>
        </w:tc>
      </w:tr>
      <w:tr w:rsidR="00571EF1" w14:paraId="1B9BC52B" w14:textId="77777777" w:rsidTr="00857CAF">
        <w:tc>
          <w:tcPr>
            <w:tcW w:w="540" w:type="dxa"/>
            <w:shd w:val="clear" w:color="auto" w:fill="8DB3E2" w:themeFill="text2" w:themeFillTint="66"/>
          </w:tcPr>
          <w:p w14:paraId="4B772B1A" w14:textId="77777777" w:rsidR="00571EF1" w:rsidRPr="00635FA1" w:rsidRDefault="00571EF1" w:rsidP="00C05EB1">
            <w:pPr>
              <w:jc w:val="center"/>
              <w:rPr>
                <w:b/>
                <w:sz w:val="28"/>
                <w:szCs w:val="28"/>
              </w:rPr>
            </w:pPr>
            <w:r w:rsidRPr="00635FA1">
              <w:rPr>
                <w:b/>
                <w:sz w:val="28"/>
                <w:szCs w:val="28"/>
              </w:rPr>
              <w:t>7</w:t>
            </w:r>
          </w:p>
        </w:tc>
        <w:tc>
          <w:tcPr>
            <w:tcW w:w="4167" w:type="dxa"/>
          </w:tcPr>
          <w:p w14:paraId="35BD6208" w14:textId="77777777" w:rsidR="00571EF1" w:rsidRDefault="0041672E" w:rsidP="00135A34">
            <w:r>
              <w:t>Initiate, improve, expand and modernize quality CTE programs, including relevant technology.</w:t>
            </w:r>
          </w:p>
        </w:tc>
        <w:tc>
          <w:tcPr>
            <w:tcW w:w="3753" w:type="dxa"/>
          </w:tcPr>
          <w:p w14:paraId="3D66A1BA" w14:textId="77777777" w:rsidR="00571EF1" w:rsidRDefault="00571EF1" w:rsidP="00135A34"/>
        </w:tc>
        <w:tc>
          <w:tcPr>
            <w:tcW w:w="5130" w:type="dxa"/>
          </w:tcPr>
          <w:p w14:paraId="255727BA" w14:textId="77777777" w:rsidR="00571EF1" w:rsidRDefault="00571EF1" w:rsidP="00135A34"/>
        </w:tc>
      </w:tr>
      <w:tr w:rsidR="00571EF1" w14:paraId="62396A2B" w14:textId="77777777" w:rsidTr="00857CAF">
        <w:tc>
          <w:tcPr>
            <w:tcW w:w="540" w:type="dxa"/>
            <w:shd w:val="clear" w:color="auto" w:fill="8DB3E2" w:themeFill="text2" w:themeFillTint="66"/>
          </w:tcPr>
          <w:p w14:paraId="41E7B7BF" w14:textId="77777777" w:rsidR="00571EF1" w:rsidRPr="00635FA1" w:rsidRDefault="00571EF1" w:rsidP="00C05EB1">
            <w:pPr>
              <w:jc w:val="center"/>
              <w:rPr>
                <w:b/>
                <w:sz w:val="28"/>
                <w:szCs w:val="28"/>
              </w:rPr>
            </w:pPr>
            <w:r w:rsidRPr="00635FA1">
              <w:rPr>
                <w:b/>
                <w:sz w:val="28"/>
                <w:szCs w:val="28"/>
              </w:rPr>
              <w:t>8</w:t>
            </w:r>
          </w:p>
        </w:tc>
        <w:tc>
          <w:tcPr>
            <w:tcW w:w="4167" w:type="dxa"/>
          </w:tcPr>
          <w:p w14:paraId="7180EBE8" w14:textId="77777777" w:rsidR="00571EF1" w:rsidRDefault="0041672E" w:rsidP="00135A34">
            <w:r>
              <w:t>Provide services and activities that are of sufficient size, scope and quality to be effective.</w:t>
            </w:r>
          </w:p>
        </w:tc>
        <w:tc>
          <w:tcPr>
            <w:tcW w:w="3753" w:type="dxa"/>
          </w:tcPr>
          <w:p w14:paraId="79E71518" w14:textId="77777777" w:rsidR="00571EF1" w:rsidRDefault="00571EF1" w:rsidP="00135A34"/>
        </w:tc>
        <w:tc>
          <w:tcPr>
            <w:tcW w:w="5130" w:type="dxa"/>
          </w:tcPr>
          <w:p w14:paraId="312136A0" w14:textId="77777777" w:rsidR="00571EF1" w:rsidRDefault="00571EF1" w:rsidP="00135A34"/>
        </w:tc>
      </w:tr>
      <w:tr w:rsidR="00571EF1" w14:paraId="3F92AC67" w14:textId="77777777" w:rsidTr="00857CAF">
        <w:tc>
          <w:tcPr>
            <w:tcW w:w="540" w:type="dxa"/>
            <w:shd w:val="clear" w:color="auto" w:fill="8DB3E2" w:themeFill="text2" w:themeFillTint="66"/>
          </w:tcPr>
          <w:p w14:paraId="4FAAEFDA" w14:textId="77777777" w:rsidR="00571EF1" w:rsidRPr="00635FA1" w:rsidRDefault="00571EF1" w:rsidP="00C05EB1">
            <w:pPr>
              <w:jc w:val="center"/>
              <w:rPr>
                <w:b/>
                <w:sz w:val="28"/>
                <w:szCs w:val="28"/>
              </w:rPr>
            </w:pPr>
            <w:r w:rsidRPr="00635FA1">
              <w:rPr>
                <w:b/>
                <w:sz w:val="28"/>
                <w:szCs w:val="28"/>
              </w:rPr>
              <w:t>9</w:t>
            </w:r>
          </w:p>
        </w:tc>
        <w:tc>
          <w:tcPr>
            <w:tcW w:w="4167" w:type="dxa"/>
          </w:tcPr>
          <w:p w14:paraId="6BC05E2D" w14:textId="77777777" w:rsidR="00571EF1" w:rsidRDefault="0041672E" w:rsidP="001F76D1">
            <w:r>
              <w:t xml:space="preserve">Provide activities </w:t>
            </w:r>
            <w:r w:rsidR="001F76D1">
              <w:t xml:space="preserve">to prepare special populations including economically disadvantaged students </w:t>
            </w:r>
            <w:r>
              <w:t>enrolled in CTE programs, for high-skill, high-wage, or high-demand occupations that will lead to self-sufficiency.</w:t>
            </w:r>
          </w:p>
        </w:tc>
        <w:tc>
          <w:tcPr>
            <w:tcW w:w="3753" w:type="dxa"/>
          </w:tcPr>
          <w:p w14:paraId="4DE9D856" w14:textId="77777777" w:rsidR="00571EF1" w:rsidRDefault="00571EF1" w:rsidP="00135A34"/>
        </w:tc>
        <w:tc>
          <w:tcPr>
            <w:tcW w:w="5130" w:type="dxa"/>
          </w:tcPr>
          <w:p w14:paraId="1F1D3BFA" w14:textId="77777777" w:rsidR="00571EF1" w:rsidRDefault="00571EF1" w:rsidP="00135A34"/>
        </w:tc>
      </w:tr>
    </w:tbl>
    <w:p w14:paraId="78ECC94D" w14:textId="77777777" w:rsidR="00857CAF" w:rsidRDefault="00857CAF" w:rsidP="00135A34">
      <w:pPr>
        <w:sectPr w:rsidR="00857CAF" w:rsidSect="0041673A">
          <w:headerReference w:type="default" r:id="rId8"/>
          <w:pgSz w:w="15840" w:h="12240" w:orient="landscape"/>
          <w:pgMar w:top="1800" w:right="1440" w:bottom="1800" w:left="1440" w:header="720" w:footer="720" w:gutter="0"/>
          <w:cols w:space="720"/>
          <w:docGrid w:linePitch="360"/>
        </w:sectPr>
      </w:pPr>
    </w:p>
    <w:tbl>
      <w:tblPr>
        <w:tblStyle w:val="TableGrid"/>
        <w:tblW w:w="13585" w:type="dxa"/>
        <w:tblInd w:w="-635" w:type="dxa"/>
        <w:tblLook w:val="04A0" w:firstRow="1" w:lastRow="0" w:firstColumn="1" w:lastColumn="0" w:noHBand="0" w:noVBand="1"/>
      </w:tblPr>
      <w:tblGrid>
        <w:gridCol w:w="877"/>
        <w:gridCol w:w="2511"/>
        <w:gridCol w:w="2922"/>
        <w:gridCol w:w="2703"/>
        <w:gridCol w:w="2091"/>
        <w:gridCol w:w="2481"/>
      </w:tblGrid>
      <w:tr w:rsidR="007F35B5" w14:paraId="4E757DCA" w14:textId="77777777" w:rsidTr="00A3237E">
        <w:tc>
          <w:tcPr>
            <w:tcW w:w="13585" w:type="dxa"/>
            <w:gridSpan w:val="6"/>
            <w:shd w:val="clear" w:color="auto" w:fill="FFCC00"/>
          </w:tcPr>
          <w:p w14:paraId="2EF37FAB" w14:textId="77777777" w:rsidR="007F35B5" w:rsidRPr="00253E5E" w:rsidRDefault="007F35B5" w:rsidP="00253E5E">
            <w:pP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SECTION TWO:  </w:t>
            </w:r>
            <w:r w:rsidRPr="00253E5E">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IMPROVEMENT GOALS</w:t>
            </w: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a ranking of the activity requests/goals made in Section One in this section and be sure to address the relevant core indicator and Vision for Success Goals with measurable outcomes.  What is the cost and what type of resources will be required.</w:t>
            </w:r>
          </w:p>
        </w:tc>
      </w:tr>
      <w:tr w:rsidR="008F23CB" w14:paraId="7C8CF792" w14:textId="77777777" w:rsidTr="00801EA3">
        <w:tc>
          <w:tcPr>
            <w:tcW w:w="877" w:type="dxa"/>
            <w:shd w:val="clear" w:color="auto" w:fill="8DB3E2" w:themeFill="text2" w:themeFillTint="66"/>
            <w:vAlign w:val="center"/>
          </w:tcPr>
          <w:p w14:paraId="0C6790D8" w14:textId="77777777" w:rsidR="008F23CB" w:rsidRPr="00635FA1" w:rsidRDefault="008F23CB" w:rsidP="00C54C20">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Rank</w:t>
            </w:r>
          </w:p>
        </w:tc>
        <w:tc>
          <w:tcPr>
            <w:tcW w:w="2511" w:type="dxa"/>
            <w:vAlign w:val="center"/>
          </w:tcPr>
          <w:p w14:paraId="7C2C5581" w14:textId="77777777" w:rsidR="008F23CB" w:rsidRPr="00635FA1" w:rsidRDefault="008F23CB" w:rsidP="00635FA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Activity </w:t>
            </w:r>
            <w:r w:rsidRPr="00635FA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Goals</w:t>
            </w:r>
          </w:p>
        </w:tc>
        <w:tc>
          <w:tcPr>
            <w:tcW w:w="2922" w:type="dxa"/>
            <w:vAlign w:val="center"/>
          </w:tcPr>
          <w:p w14:paraId="4BD9280E" w14:textId="77777777" w:rsidR="008F23CB" w:rsidRPr="00635FA1" w:rsidRDefault="00801EA3" w:rsidP="00D95DF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Which Core Indicator (s) </w:t>
            </w:r>
            <w:r w:rsidR="007C347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Vision for Success Goals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this activity improve?</w:t>
            </w:r>
          </w:p>
        </w:tc>
        <w:tc>
          <w:tcPr>
            <w:tcW w:w="2703" w:type="dxa"/>
            <w:vAlign w:val="center"/>
          </w:tcPr>
          <w:p w14:paraId="64E27408" w14:textId="77777777" w:rsidR="008F23CB" w:rsidRPr="00635FA1" w:rsidRDefault="008F23CB" w:rsidP="00635FA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5FA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Measureable Outcomes</w:t>
            </w:r>
          </w:p>
        </w:tc>
        <w:tc>
          <w:tcPr>
            <w:tcW w:w="2091" w:type="dxa"/>
            <w:vAlign w:val="center"/>
          </w:tcPr>
          <w:p w14:paraId="5E8A33AA" w14:textId="77777777" w:rsidR="008F23CB" w:rsidRPr="00635FA1" w:rsidRDefault="008F23CB" w:rsidP="00801EA3">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w:t>
            </w:r>
            <w:r w:rsidR="002A50D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2481" w:type="dxa"/>
            <w:vAlign w:val="center"/>
          </w:tcPr>
          <w:p w14:paraId="76ECFC03" w14:textId="77777777" w:rsidR="008F23CB" w:rsidRPr="00635FA1" w:rsidRDefault="008F23CB" w:rsidP="00635FA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5FA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 Resources</w:t>
            </w:r>
            <w:r w:rsidR="00801EA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(Human and Physical)</w:t>
            </w:r>
          </w:p>
        </w:tc>
      </w:tr>
      <w:tr w:rsidR="008F23CB" w14:paraId="51E0F362" w14:textId="77777777" w:rsidTr="008F23CB">
        <w:tc>
          <w:tcPr>
            <w:tcW w:w="877" w:type="dxa"/>
            <w:shd w:val="clear" w:color="auto" w:fill="8DB3E2" w:themeFill="text2" w:themeFillTint="66"/>
            <w:vAlign w:val="center"/>
          </w:tcPr>
          <w:p w14:paraId="47029F3D" w14:textId="77777777" w:rsidR="008F23CB" w:rsidRPr="00C54C20" w:rsidRDefault="008F23CB" w:rsidP="00C54C20">
            <w:pPr>
              <w:jc w:val="center"/>
              <w:rPr>
                <w:b/>
                <w:sz w:val="28"/>
                <w:szCs w:val="28"/>
              </w:rPr>
            </w:pPr>
            <w:r w:rsidRPr="00C54C20">
              <w:rPr>
                <w:b/>
                <w:sz w:val="28"/>
                <w:szCs w:val="28"/>
              </w:rPr>
              <w:t>1</w:t>
            </w:r>
          </w:p>
        </w:tc>
        <w:tc>
          <w:tcPr>
            <w:tcW w:w="2511" w:type="dxa"/>
          </w:tcPr>
          <w:p w14:paraId="4AA3C319" w14:textId="77777777" w:rsidR="008F23CB" w:rsidRDefault="008F23CB" w:rsidP="00135A34"/>
        </w:tc>
        <w:tc>
          <w:tcPr>
            <w:tcW w:w="2922" w:type="dxa"/>
          </w:tcPr>
          <w:p w14:paraId="07806B0E" w14:textId="77777777" w:rsidR="008F23CB" w:rsidRDefault="008F23CB" w:rsidP="00135A34"/>
        </w:tc>
        <w:tc>
          <w:tcPr>
            <w:tcW w:w="2703" w:type="dxa"/>
          </w:tcPr>
          <w:p w14:paraId="6497AACF" w14:textId="77777777" w:rsidR="008F23CB" w:rsidRDefault="008F23CB" w:rsidP="00135A34"/>
        </w:tc>
        <w:tc>
          <w:tcPr>
            <w:tcW w:w="2091" w:type="dxa"/>
          </w:tcPr>
          <w:p w14:paraId="2980C647" w14:textId="77777777" w:rsidR="008F23CB" w:rsidRDefault="008F23CB" w:rsidP="00135A34"/>
        </w:tc>
        <w:tc>
          <w:tcPr>
            <w:tcW w:w="2481" w:type="dxa"/>
          </w:tcPr>
          <w:p w14:paraId="4C436E07" w14:textId="77777777" w:rsidR="008F23CB" w:rsidRDefault="008F23CB" w:rsidP="00135A34"/>
        </w:tc>
      </w:tr>
      <w:tr w:rsidR="008F23CB" w14:paraId="5C30DED6" w14:textId="77777777" w:rsidTr="008F23CB">
        <w:tc>
          <w:tcPr>
            <w:tcW w:w="877" w:type="dxa"/>
            <w:shd w:val="clear" w:color="auto" w:fill="8DB3E2" w:themeFill="text2" w:themeFillTint="66"/>
            <w:vAlign w:val="center"/>
          </w:tcPr>
          <w:p w14:paraId="3DE5E592" w14:textId="77777777" w:rsidR="008F23CB" w:rsidRPr="00C54C20" w:rsidRDefault="008F23CB" w:rsidP="00C54C20">
            <w:pPr>
              <w:jc w:val="center"/>
              <w:rPr>
                <w:b/>
                <w:sz w:val="28"/>
                <w:szCs w:val="28"/>
              </w:rPr>
            </w:pPr>
            <w:r w:rsidRPr="00C54C20">
              <w:rPr>
                <w:b/>
                <w:sz w:val="28"/>
                <w:szCs w:val="28"/>
              </w:rPr>
              <w:t>2</w:t>
            </w:r>
          </w:p>
        </w:tc>
        <w:tc>
          <w:tcPr>
            <w:tcW w:w="2511" w:type="dxa"/>
          </w:tcPr>
          <w:p w14:paraId="37A4EC41" w14:textId="77777777" w:rsidR="008F23CB" w:rsidRDefault="008F23CB" w:rsidP="00135A34"/>
        </w:tc>
        <w:tc>
          <w:tcPr>
            <w:tcW w:w="2922" w:type="dxa"/>
          </w:tcPr>
          <w:p w14:paraId="4D0847C3" w14:textId="77777777" w:rsidR="008F23CB" w:rsidRDefault="008F23CB" w:rsidP="00135A34"/>
        </w:tc>
        <w:tc>
          <w:tcPr>
            <w:tcW w:w="2703" w:type="dxa"/>
          </w:tcPr>
          <w:p w14:paraId="51B5EEFD" w14:textId="77777777" w:rsidR="008F23CB" w:rsidRDefault="008F23CB" w:rsidP="00135A34"/>
        </w:tc>
        <w:tc>
          <w:tcPr>
            <w:tcW w:w="2091" w:type="dxa"/>
          </w:tcPr>
          <w:p w14:paraId="4B9E3002" w14:textId="77777777" w:rsidR="008F23CB" w:rsidRDefault="008F23CB" w:rsidP="00135A34"/>
        </w:tc>
        <w:tc>
          <w:tcPr>
            <w:tcW w:w="2481" w:type="dxa"/>
          </w:tcPr>
          <w:p w14:paraId="0EA49D3D" w14:textId="77777777" w:rsidR="008F23CB" w:rsidRDefault="008F23CB" w:rsidP="00135A34"/>
        </w:tc>
      </w:tr>
      <w:tr w:rsidR="008F23CB" w14:paraId="624CB19F" w14:textId="77777777" w:rsidTr="008F23CB">
        <w:tc>
          <w:tcPr>
            <w:tcW w:w="877" w:type="dxa"/>
            <w:shd w:val="clear" w:color="auto" w:fill="8DB3E2" w:themeFill="text2" w:themeFillTint="66"/>
            <w:vAlign w:val="center"/>
          </w:tcPr>
          <w:p w14:paraId="59E1A1FD" w14:textId="77777777" w:rsidR="008F23CB" w:rsidRPr="00C54C20" w:rsidRDefault="008F23CB" w:rsidP="00C54C20">
            <w:pPr>
              <w:jc w:val="center"/>
              <w:rPr>
                <w:b/>
                <w:sz w:val="28"/>
                <w:szCs w:val="28"/>
              </w:rPr>
            </w:pPr>
            <w:r w:rsidRPr="00C54C20">
              <w:rPr>
                <w:b/>
                <w:sz w:val="28"/>
                <w:szCs w:val="28"/>
              </w:rPr>
              <w:t>3</w:t>
            </w:r>
          </w:p>
        </w:tc>
        <w:tc>
          <w:tcPr>
            <w:tcW w:w="2511" w:type="dxa"/>
          </w:tcPr>
          <w:p w14:paraId="4010567B" w14:textId="77777777" w:rsidR="008F23CB" w:rsidRDefault="008F23CB" w:rsidP="00135A34"/>
        </w:tc>
        <w:tc>
          <w:tcPr>
            <w:tcW w:w="2922" w:type="dxa"/>
          </w:tcPr>
          <w:p w14:paraId="4DD271EB" w14:textId="77777777" w:rsidR="008F23CB" w:rsidRDefault="008F23CB" w:rsidP="00135A34"/>
        </w:tc>
        <w:tc>
          <w:tcPr>
            <w:tcW w:w="2703" w:type="dxa"/>
          </w:tcPr>
          <w:p w14:paraId="1D6917EB" w14:textId="77777777" w:rsidR="008F23CB" w:rsidRDefault="008F23CB" w:rsidP="00135A34"/>
        </w:tc>
        <w:tc>
          <w:tcPr>
            <w:tcW w:w="2091" w:type="dxa"/>
          </w:tcPr>
          <w:p w14:paraId="63C75A27" w14:textId="77777777" w:rsidR="008F23CB" w:rsidRDefault="008F23CB" w:rsidP="00135A34"/>
        </w:tc>
        <w:tc>
          <w:tcPr>
            <w:tcW w:w="2481" w:type="dxa"/>
          </w:tcPr>
          <w:p w14:paraId="71DA6474" w14:textId="77777777" w:rsidR="008F23CB" w:rsidRDefault="008F23CB" w:rsidP="00135A34"/>
        </w:tc>
      </w:tr>
      <w:tr w:rsidR="008F23CB" w14:paraId="61A4BC78" w14:textId="77777777" w:rsidTr="008F23CB">
        <w:tc>
          <w:tcPr>
            <w:tcW w:w="877" w:type="dxa"/>
            <w:shd w:val="clear" w:color="auto" w:fill="8DB3E2" w:themeFill="text2" w:themeFillTint="66"/>
            <w:vAlign w:val="center"/>
          </w:tcPr>
          <w:p w14:paraId="334707CA" w14:textId="77777777" w:rsidR="008F23CB" w:rsidRPr="00C54C20" w:rsidRDefault="008F23CB" w:rsidP="00C54C20">
            <w:pPr>
              <w:jc w:val="center"/>
              <w:rPr>
                <w:b/>
                <w:sz w:val="28"/>
                <w:szCs w:val="28"/>
              </w:rPr>
            </w:pPr>
            <w:r w:rsidRPr="00C54C20">
              <w:rPr>
                <w:b/>
                <w:sz w:val="28"/>
                <w:szCs w:val="28"/>
              </w:rPr>
              <w:t>4</w:t>
            </w:r>
          </w:p>
        </w:tc>
        <w:tc>
          <w:tcPr>
            <w:tcW w:w="2511" w:type="dxa"/>
          </w:tcPr>
          <w:p w14:paraId="4702A0DB" w14:textId="77777777" w:rsidR="008F23CB" w:rsidRDefault="008F23CB" w:rsidP="00135A34"/>
        </w:tc>
        <w:tc>
          <w:tcPr>
            <w:tcW w:w="2922" w:type="dxa"/>
          </w:tcPr>
          <w:p w14:paraId="4AE1CE8B" w14:textId="77777777" w:rsidR="008F23CB" w:rsidRDefault="008F23CB" w:rsidP="00135A34"/>
        </w:tc>
        <w:tc>
          <w:tcPr>
            <w:tcW w:w="2703" w:type="dxa"/>
          </w:tcPr>
          <w:p w14:paraId="53BD944B" w14:textId="77777777" w:rsidR="008F23CB" w:rsidRDefault="008F23CB" w:rsidP="00135A34"/>
        </w:tc>
        <w:tc>
          <w:tcPr>
            <w:tcW w:w="2091" w:type="dxa"/>
          </w:tcPr>
          <w:p w14:paraId="2AEEED5F" w14:textId="77777777" w:rsidR="008F23CB" w:rsidRDefault="008F23CB" w:rsidP="00135A34"/>
        </w:tc>
        <w:tc>
          <w:tcPr>
            <w:tcW w:w="2481" w:type="dxa"/>
          </w:tcPr>
          <w:p w14:paraId="2B150D1C" w14:textId="77777777" w:rsidR="008F23CB" w:rsidRDefault="008F23CB" w:rsidP="00135A34"/>
        </w:tc>
      </w:tr>
      <w:tr w:rsidR="008F23CB" w14:paraId="44C5426B" w14:textId="77777777" w:rsidTr="008F23CB">
        <w:tc>
          <w:tcPr>
            <w:tcW w:w="877" w:type="dxa"/>
            <w:shd w:val="clear" w:color="auto" w:fill="8DB3E2" w:themeFill="text2" w:themeFillTint="66"/>
            <w:vAlign w:val="center"/>
          </w:tcPr>
          <w:p w14:paraId="07DF2482" w14:textId="77777777" w:rsidR="008F23CB" w:rsidRPr="00C54C20" w:rsidRDefault="008F23CB" w:rsidP="00C54C20">
            <w:pPr>
              <w:jc w:val="center"/>
              <w:rPr>
                <w:b/>
                <w:sz w:val="28"/>
                <w:szCs w:val="28"/>
              </w:rPr>
            </w:pPr>
            <w:r w:rsidRPr="00C54C20">
              <w:rPr>
                <w:b/>
                <w:sz w:val="28"/>
                <w:szCs w:val="28"/>
              </w:rPr>
              <w:t>5</w:t>
            </w:r>
          </w:p>
        </w:tc>
        <w:tc>
          <w:tcPr>
            <w:tcW w:w="2511" w:type="dxa"/>
          </w:tcPr>
          <w:p w14:paraId="16884BB2" w14:textId="77777777" w:rsidR="008F23CB" w:rsidRDefault="008F23CB" w:rsidP="00135A34"/>
        </w:tc>
        <w:tc>
          <w:tcPr>
            <w:tcW w:w="2922" w:type="dxa"/>
          </w:tcPr>
          <w:p w14:paraId="05CCB58C" w14:textId="77777777" w:rsidR="008F23CB" w:rsidRDefault="008F23CB" w:rsidP="00135A34"/>
        </w:tc>
        <w:tc>
          <w:tcPr>
            <w:tcW w:w="2703" w:type="dxa"/>
          </w:tcPr>
          <w:p w14:paraId="195D7316" w14:textId="77777777" w:rsidR="008F23CB" w:rsidRDefault="008F23CB" w:rsidP="00135A34"/>
        </w:tc>
        <w:tc>
          <w:tcPr>
            <w:tcW w:w="2091" w:type="dxa"/>
          </w:tcPr>
          <w:p w14:paraId="3114C173" w14:textId="77777777" w:rsidR="008F23CB" w:rsidRDefault="008F23CB" w:rsidP="00135A34"/>
        </w:tc>
        <w:tc>
          <w:tcPr>
            <w:tcW w:w="2481" w:type="dxa"/>
          </w:tcPr>
          <w:p w14:paraId="044E23EF" w14:textId="77777777" w:rsidR="008F23CB" w:rsidRDefault="008F23CB" w:rsidP="00135A34"/>
        </w:tc>
      </w:tr>
    </w:tbl>
    <w:p w14:paraId="5E91DE5B" w14:textId="77777777" w:rsidR="00E14834" w:rsidRDefault="00E14834" w:rsidP="00135A34"/>
    <w:p w14:paraId="1D0C40F2" w14:textId="77777777" w:rsidR="00801EA3" w:rsidRPr="00801EA3" w:rsidRDefault="00801EA3" w:rsidP="00135A34">
      <w:pPr>
        <w:rPr>
          <w:sz w:val="28"/>
          <w:szCs w:val="28"/>
        </w:rPr>
      </w:pPr>
    </w:p>
    <w:p w14:paraId="7A244F5D" w14:textId="77777777" w:rsidR="00801EA3" w:rsidRDefault="00801EA3">
      <w:pPr>
        <w:rPr>
          <w:sz w:val="28"/>
          <w:szCs w:val="28"/>
        </w:rPr>
      </w:pPr>
      <w:r>
        <w:rPr>
          <w:sz w:val="28"/>
          <w:szCs w:val="28"/>
        </w:rPr>
        <w:br w:type="page"/>
      </w:r>
    </w:p>
    <w:p w14:paraId="5E059F9D" w14:textId="77777777" w:rsidR="00F13E69" w:rsidRPr="007C347C" w:rsidRDefault="00F13E69" w:rsidP="00135A34">
      <w:pPr>
        <w:rPr>
          <w:sz w:val="28"/>
          <w:szCs w:val="28"/>
        </w:rPr>
        <w:sectPr w:rsidR="00F13E69" w:rsidRPr="007C347C" w:rsidSect="0041673A">
          <w:headerReference w:type="default" r:id="rId9"/>
          <w:pgSz w:w="15840" w:h="12240" w:orient="landscape"/>
          <w:pgMar w:top="1800" w:right="1440" w:bottom="1800" w:left="1440" w:header="720" w:footer="720" w:gutter="0"/>
          <w:cols w:space="720"/>
          <w:docGrid w:linePitch="360"/>
        </w:sectPr>
      </w:pPr>
    </w:p>
    <w:p w14:paraId="18C93B8E" w14:textId="77777777" w:rsidR="00237049" w:rsidRDefault="00237049" w:rsidP="007F35B5"/>
    <w:tbl>
      <w:tblPr>
        <w:tblStyle w:val="TableGrid"/>
        <w:tblW w:w="13585" w:type="dxa"/>
        <w:tblInd w:w="-635" w:type="dxa"/>
        <w:tblLook w:val="04A0" w:firstRow="1" w:lastRow="0" w:firstColumn="1" w:lastColumn="0" w:noHBand="0" w:noVBand="1"/>
      </w:tblPr>
      <w:tblGrid>
        <w:gridCol w:w="877"/>
        <w:gridCol w:w="8136"/>
        <w:gridCol w:w="4572"/>
      </w:tblGrid>
      <w:tr w:rsidR="00F13E69" w14:paraId="0E48CD34" w14:textId="77777777" w:rsidTr="0002126B">
        <w:tc>
          <w:tcPr>
            <w:tcW w:w="13585" w:type="dxa"/>
            <w:gridSpan w:val="3"/>
            <w:shd w:val="clear" w:color="auto" w:fill="FFCC00"/>
          </w:tcPr>
          <w:p w14:paraId="7AFE712D" w14:textId="77777777" w:rsidR="00F13E69" w:rsidRPr="00253E5E" w:rsidRDefault="00F13E69" w:rsidP="0002126B">
            <w:pP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THREE:  EMPLOYER ENGAGEMENT.  Using the ranking for funded activity goals as listed in Section Two, please address how th</w:t>
            </w:r>
            <w:r w:rsidR="003C1719">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activity goal(s) will improve Employer Engagement.  </w:t>
            </w:r>
          </w:p>
        </w:tc>
      </w:tr>
      <w:tr w:rsidR="00F13E69" w14:paraId="18E70A22" w14:textId="77777777" w:rsidTr="00F13E69">
        <w:tc>
          <w:tcPr>
            <w:tcW w:w="877" w:type="dxa"/>
            <w:shd w:val="clear" w:color="auto" w:fill="8DB3E2" w:themeFill="text2" w:themeFillTint="66"/>
            <w:vAlign w:val="center"/>
          </w:tcPr>
          <w:p w14:paraId="19F4EF20" w14:textId="77777777" w:rsidR="00F13E69" w:rsidRPr="00635FA1" w:rsidRDefault="00F13E69" w:rsidP="0002126B">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Rank</w:t>
            </w:r>
          </w:p>
        </w:tc>
        <w:tc>
          <w:tcPr>
            <w:tcW w:w="8136" w:type="dxa"/>
            <w:vAlign w:val="center"/>
          </w:tcPr>
          <w:p w14:paraId="6486710B" w14:textId="77777777" w:rsidR="00F13E69" w:rsidRPr="00635FA1" w:rsidRDefault="00F13E69" w:rsidP="0002126B">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Activity </w:t>
            </w:r>
            <w:r w:rsidRPr="00635FA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Goals</w:t>
            </w:r>
          </w:p>
        </w:tc>
        <w:tc>
          <w:tcPr>
            <w:tcW w:w="4572" w:type="dxa"/>
            <w:vAlign w:val="center"/>
          </w:tcPr>
          <w:p w14:paraId="14ABABB5" w14:textId="77777777" w:rsidR="00F13E69" w:rsidRPr="00635FA1" w:rsidRDefault="00F13E69" w:rsidP="0002126B">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Which Employer Engagement Goals will this activity improve?</w:t>
            </w:r>
          </w:p>
        </w:tc>
      </w:tr>
      <w:tr w:rsidR="003C1719" w14:paraId="0FA22C94" w14:textId="77777777" w:rsidTr="00E44D0C">
        <w:tc>
          <w:tcPr>
            <w:tcW w:w="877" w:type="dxa"/>
            <w:shd w:val="clear" w:color="auto" w:fill="8DB3E2" w:themeFill="text2" w:themeFillTint="66"/>
            <w:vAlign w:val="center"/>
          </w:tcPr>
          <w:p w14:paraId="727C89D9" w14:textId="77777777" w:rsidR="003C1719" w:rsidRPr="00C54C20" w:rsidRDefault="003C1719" w:rsidP="0002126B">
            <w:pPr>
              <w:jc w:val="center"/>
              <w:rPr>
                <w:b/>
                <w:sz w:val="28"/>
                <w:szCs w:val="28"/>
              </w:rPr>
            </w:pPr>
            <w:r w:rsidRPr="00C54C20">
              <w:rPr>
                <w:b/>
                <w:sz w:val="28"/>
                <w:szCs w:val="28"/>
              </w:rPr>
              <w:t>1</w:t>
            </w:r>
          </w:p>
        </w:tc>
        <w:tc>
          <w:tcPr>
            <w:tcW w:w="8136" w:type="dxa"/>
          </w:tcPr>
          <w:p w14:paraId="2EC13F52" w14:textId="77777777" w:rsidR="003C1719" w:rsidRDefault="003C1719" w:rsidP="0002126B"/>
        </w:tc>
        <w:tc>
          <w:tcPr>
            <w:tcW w:w="4572" w:type="dxa"/>
          </w:tcPr>
          <w:p w14:paraId="46A6FF6F" w14:textId="77777777" w:rsidR="003C1719" w:rsidRDefault="003C1719" w:rsidP="0002126B"/>
        </w:tc>
      </w:tr>
      <w:tr w:rsidR="003C1719" w14:paraId="2AF03D1D" w14:textId="77777777" w:rsidTr="005C3102">
        <w:tc>
          <w:tcPr>
            <w:tcW w:w="877" w:type="dxa"/>
            <w:shd w:val="clear" w:color="auto" w:fill="8DB3E2" w:themeFill="text2" w:themeFillTint="66"/>
            <w:vAlign w:val="center"/>
          </w:tcPr>
          <w:p w14:paraId="5B94E8C7" w14:textId="77777777" w:rsidR="003C1719" w:rsidRPr="00C54C20" w:rsidRDefault="003C1719" w:rsidP="0002126B">
            <w:pPr>
              <w:jc w:val="center"/>
              <w:rPr>
                <w:b/>
                <w:sz w:val="28"/>
                <w:szCs w:val="28"/>
              </w:rPr>
            </w:pPr>
            <w:r w:rsidRPr="00C54C20">
              <w:rPr>
                <w:b/>
                <w:sz w:val="28"/>
                <w:szCs w:val="28"/>
              </w:rPr>
              <w:t>2</w:t>
            </w:r>
          </w:p>
        </w:tc>
        <w:tc>
          <w:tcPr>
            <w:tcW w:w="8136" w:type="dxa"/>
          </w:tcPr>
          <w:p w14:paraId="7AB31147" w14:textId="77777777" w:rsidR="003C1719" w:rsidRDefault="003C1719" w:rsidP="0002126B"/>
        </w:tc>
        <w:tc>
          <w:tcPr>
            <w:tcW w:w="4572" w:type="dxa"/>
          </w:tcPr>
          <w:p w14:paraId="42AABBB7" w14:textId="77777777" w:rsidR="003C1719" w:rsidRDefault="003C1719" w:rsidP="0002126B"/>
        </w:tc>
      </w:tr>
      <w:tr w:rsidR="003C1719" w14:paraId="087B5306" w14:textId="77777777" w:rsidTr="001A10C6">
        <w:tc>
          <w:tcPr>
            <w:tcW w:w="877" w:type="dxa"/>
            <w:shd w:val="clear" w:color="auto" w:fill="8DB3E2" w:themeFill="text2" w:themeFillTint="66"/>
            <w:vAlign w:val="center"/>
          </w:tcPr>
          <w:p w14:paraId="5D654F02" w14:textId="77777777" w:rsidR="003C1719" w:rsidRPr="00C54C20" w:rsidRDefault="003C1719" w:rsidP="0002126B">
            <w:pPr>
              <w:jc w:val="center"/>
              <w:rPr>
                <w:b/>
                <w:sz w:val="28"/>
                <w:szCs w:val="28"/>
              </w:rPr>
            </w:pPr>
            <w:r w:rsidRPr="00C54C20">
              <w:rPr>
                <w:b/>
                <w:sz w:val="28"/>
                <w:szCs w:val="28"/>
              </w:rPr>
              <w:t>3</w:t>
            </w:r>
          </w:p>
        </w:tc>
        <w:tc>
          <w:tcPr>
            <w:tcW w:w="8136" w:type="dxa"/>
          </w:tcPr>
          <w:p w14:paraId="1294F8E4" w14:textId="77777777" w:rsidR="003C1719" w:rsidRDefault="003C1719" w:rsidP="0002126B"/>
        </w:tc>
        <w:tc>
          <w:tcPr>
            <w:tcW w:w="4572" w:type="dxa"/>
          </w:tcPr>
          <w:p w14:paraId="781CEB49" w14:textId="77777777" w:rsidR="003C1719" w:rsidRDefault="003C1719" w:rsidP="0002126B"/>
        </w:tc>
      </w:tr>
      <w:tr w:rsidR="003C1719" w14:paraId="7CAAE7E9" w14:textId="77777777" w:rsidTr="00266DE1">
        <w:tc>
          <w:tcPr>
            <w:tcW w:w="877" w:type="dxa"/>
            <w:shd w:val="clear" w:color="auto" w:fill="8DB3E2" w:themeFill="text2" w:themeFillTint="66"/>
            <w:vAlign w:val="center"/>
          </w:tcPr>
          <w:p w14:paraId="7E2CB843" w14:textId="77777777" w:rsidR="003C1719" w:rsidRPr="00C54C20" w:rsidRDefault="003C1719" w:rsidP="0002126B">
            <w:pPr>
              <w:jc w:val="center"/>
              <w:rPr>
                <w:b/>
                <w:sz w:val="28"/>
                <w:szCs w:val="28"/>
              </w:rPr>
            </w:pPr>
            <w:r w:rsidRPr="00C54C20">
              <w:rPr>
                <w:b/>
                <w:sz w:val="28"/>
                <w:szCs w:val="28"/>
              </w:rPr>
              <w:t>4</w:t>
            </w:r>
          </w:p>
        </w:tc>
        <w:tc>
          <w:tcPr>
            <w:tcW w:w="8136" w:type="dxa"/>
          </w:tcPr>
          <w:p w14:paraId="14A5CD31" w14:textId="77777777" w:rsidR="003C1719" w:rsidRDefault="003C1719" w:rsidP="0002126B"/>
        </w:tc>
        <w:tc>
          <w:tcPr>
            <w:tcW w:w="4572" w:type="dxa"/>
          </w:tcPr>
          <w:p w14:paraId="37BD852D" w14:textId="77777777" w:rsidR="003C1719" w:rsidRDefault="003C1719" w:rsidP="0002126B"/>
        </w:tc>
      </w:tr>
      <w:tr w:rsidR="003C1719" w14:paraId="67471B80" w14:textId="77777777" w:rsidTr="00AC1355">
        <w:tc>
          <w:tcPr>
            <w:tcW w:w="877" w:type="dxa"/>
            <w:shd w:val="clear" w:color="auto" w:fill="8DB3E2" w:themeFill="text2" w:themeFillTint="66"/>
            <w:vAlign w:val="center"/>
          </w:tcPr>
          <w:p w14:paraId="438FCA4F" w14:textId="77777777" w:rsidR="003C1719" w:rsidRPr="00C54C20" w:rsidRDefault="003C1719" w:rsidP="0002126B">
            <w:pPr>
              <w:jc w:val="center"/>
              <w:rPr>
                <w:b/>
                <w:sz w:val="28"/>
                <w:szCs w:val="28"/>
              </w:rPr>
            </w:pPr>
            <w:r w:rsidRPr="00C54C20">
              <w:rPr>
                <w:b/>
                <w:sz w:val="28"/>
                <w:szCs w:val="28"/>
              </w:rPr>
              <w:t>5</w:t>
            </w:r>
          </w:p>
        </w:tc>
        <w:tc>
          <w:tcPr>
            <w:tcW w:w="8136" w:type="dxa"/>
          </w:tcPr>
          <w:p w14:paraId="7E510B7E" w14:textId="77777777" w:rsidR="003C1719" w:rsidRDefault="003C1719" w:rsidP="0002126B"/>
        </w:tc>
        <w:tc>
          <w:tcPr>
            <w:tcW w:w="4572" w:type="dxa"/>
          </w:tcPr>
          <w:p w14:paraId="0632D5F7" w14:textId="77777777" w:rsidR="003C1719" w:rsidRDefault="003C1719" w:rsidP="0002126B"/>
        </w:tc>
      </w:tr>
    </w:tbl>
    <w:p w14:paraId="2DF6F53D" w14:textId="77777777" w:rsidR="00F13E69" w:rsidRDefault="00F13E69" w:rsidP="00F13E69"/>
    <w:p w14:paraId="762AE2AC" w14:textId="77777777" w:rsidR="003C1719" w:rsidRDefault="003C1719" w:rsidP="003C1719">
      <w:pPr>
        <w:rPr>
          <w:b/>
          <w:color w:val="244061" w:themeColor="accent1" w:themeShade="80"/>
          <w:sz w:val="28"/>
          <w:szCs w:val="28"/>
        </w:rPr>
      </w:pPr>
    </w:p>
    <w:p w14:paraId="6646E58E" w14:textId="77777777" w:rsidR="003C1719" w:rsidRDefault="003C1719" w:rsidP="003C1719">
      <w:pPr>
        <w:rPr>
          <w:b/>
          <w:color w:val="244061" w:themeColor="accent1" w:themeShade="80"/>
          <w:sz w:val="28"/>
          <w:szCs w:val="28"/>
        </w:rPr>
      </w:pPr>
    </w:p>
    <w:p w14:paraId="48E16934" w14:textId="77777777" w:rsidR="003C1719" w:rsidRDefault="003C1719" w:rsidP="003C1719">
      <w:pPr>
        <w:rPr>
          <w:b/>
          <w:color w:val="244061" w:themeColor="accent1" w:themeShade="80"/>
          <w:sz w:val="28"/>
          <w:szCs w:val="28"/>
        </w:rPr>
      </w:pPr>
    </w:p>
    <w:p w14:paraId="0A8DC9F5" w14:textId="77777777" w:rsidR="003C1719" w:rsidRDefault="003C1719" w:rsidP="003C1719">
      <w:pPr>
        <w:rPr>
          <w:b/>
          <w:color w:val="244061" w:themeColor="accent1" w:themeShade="80"/>
          <w:sz w:val="28"/>
          <w:szCs w:val="28"/>
        </w:rPr>
      </w:pPr>
    </w:p>
    <w:p w14:paraId="7C897C37" w14:textId="77777777" w:rsidR="003C1719" w:rsidRDefault="003C1719" w:rsidP="003C1719">
      <w:pPr>
        <w:rPr>
          <w:b/>
          <w:color w:val="244061" w:themeColor="accent1" w:themeShade="80"/>
          <w:sz w:val="28"/>
          <w:szCs w:val="28"/>
        </w:rPr>
      </w:pPr>
    </w:p>
    <w:p w14:paraId="416F3D5F" w14:textId="77777777" w:rsidR="003C1719" w:rsidRDefault="003C1719" w:rsidP="003C1719">
      <w:pPr>
        <w:rPr>
          <w:b/>
          <w:color w:val="244061" w:themeColor="accent1" w:themeShade="80"/>
          <w:sz w:val="28"/>
          <w:szCs w:val="28"/>
        </w:rPr>
      </w:pPr>
    </w:p>
    <w:p w14:paraId="639234DC" w14:textId="77777777" w:rsidR="003C1719" w:rsidRDefault="003C1719" w:rsidP="003C1719">
      <w:pPr>
        <w:rPr>
          <w:b/>
          <w:color w:val="244061" w:themeColor="accent1" w:themeShade="80"/>
          <w:sz w:val="28"/>
          <w:szCs w:val="28"/>
        </w:rPr>
      </w:pPr>
    </w:p>
    <w:p w14:paraId="7B02C378" w14:textId="77777777" w:rsidR="003C1719" w:rsidRDefault="003C1719" w:rsidP="003C1719">
      <w:pPr>
        <w:rPr>
          <w:b/>
          <w:color w:val="244061" w:themeColor="accent1" w:themeShade="80"/>
          <w:sz w:val="28"/>
          <w:szCs w:val="28"/>
        </w:rPr>
      </w:pPr>
    </w:p>
    <w:p w14:paraId="3411D3D9" w14:textId="77777777" w:rsidR="003C1719" w:rsidRDefault="003C1719" w:rsidP="003C1719">
      <w:pPr>
        <w:rPr>
          <w:b/>
          <w:color w:val="244061" w:themeColor="accent1" w:themeShade="80"/>
          <w:sz w:val="28"/>
          <w:szCs w:val="28"/>
        </w:rPr>
      </w:pPr>
    </w:p>
    <w:p w14:paraId="2AF8EC0C" w14:textId="77777777" w:rsidR="003C1719" w:rsidRPr="007C347C" w:rsidRDefault="003C1719" w:rsidP="003C1719">
      <w:pPr>
        <w:rPr>
          <w:b/>
          <w:color w:val="244061" w:themeColor="accent1" w:themeShade="80"/>
          <w:sz w:val="28"/>
          <w:szCs w:val="28"/>
        </w:rPr>
      </w:pPr>
      <w:r w:rsidRPr="007C347C">
        <w:rPr>
          <w:b/>
          <w:color w:val="244061" w:themeColor="accent1" w:themeShade="80"/>
          <w:sz w:val="28"/>
          <w:szCs w:val="28"/>
        </w:rPr>
        <w:lastRenderedPageBreak/>
        <w:t>Perkins V Core Indicators:</w:t>
      </w:r>
    </w:p>
    <w:p w14:paraId="2A845563" w14:textId="77777777" w:rsidR="003C1719" w:rsidRPr="00801EA3" w:rsidRDefault="003C1719" w:rsidP="003C1719">
      <w:pPr>
        <w:rPr>
          <w:sz w:val="28"/>
          <w:szCs w:val="28"/>
        </w:rPr>
      </w:pPr>
    </w:p>
    <w:p w14:paraId="31CC8651" w14:textId="77777777" w:rsidR="003C1719" w:rsidRDefault="003C1719" w:rsidP="003C1719">
      <w:pPr>
        <w:rPr>
          <w:rFonts w:ascii="Source Sans Pro" w:hAnsi="Source Sans Pro"/>
          <w:b/>
          <w:bCs/>
          <w:color w:val="1D3767"/>
          <w:sz w:val="28"/>
          <w:szCs w:val="28"/>
          <w:shd w:val="clear" w:color="auto" w:fill="FFFFFF"/>
        </w:rPr>
      </w:pPr>
      <w:r w:rsidRPr="00801EA3">
        <w:rPr>
          <w:rFonts w:ascii="Source Sans Pro" w:hAnsi="Source Sans Pro"/>
          <w:b/>
          <w:bCs/>
          <w:color w:val="1D3767"/>
          <w:sz w:val="28"/>
          <w:szCs w:val="28"/>
          <w:shd w:val="clear" w:color="auto" w:fill="FFFFFF"/>
        </w:rPr>
        <w:t>1P1: Postsecondary Retention and Placement</w:t>
      </w:r>
    </w:p>
    <w:p w14:paraId="0E49929E" w14:textId="77777777" w:rsidR="003C1719" w:rsidRDefault="003C1719" w:rsidP="003C1719">
      <w:pPr>
        <w:rPr>
          <w:rFonts w:ascii="Source Sans Pro" w:hAnsi="Source Sans Pro"/>
          <w:bCs/>
          <w:sz w:val="28"/>
          <w:szCs w:val="28"/>
          <w:shd w:val="clear" w:color="auto" w:fill="FFFFFF"/>
        </w:rPr>
      </w:pPr>
      <w:r w:rsidRPr="00801EA3">
        <w:rPr>
          <w:rFonts w:ascii="Source Sans Pro" w:hAnsi="Source Sans Pro"/>
          <w:bCs/>
          <w:sz w:val="28"/>
          <w:szCs w:val="28"/>
          <w:shd w:val="clear" w:color="auto" w:fill="FFFFFF"/>
        </w:rPr>
        <w:t>The percentage of CTE concentrators who</w:t>
      </w:r>
      <w:r>
        <w:rPr>
          <w:rFonts w:ascii="Source Sans Pro" w:hAnsi="Source Sans Pro"/>
          <w:bCs/>
          <w:sz w:val="28"/>
          <w:szCs w:val="28"/>
          <w:shd w:val="clear" w:color="auto" w:fill="FFFFFF"/>
        </w:rPr>
        <w:t>, during the second quarter after program completion, remain enrolled in postsecondary education, are in advanced training, military service, or a service program that receives assistance under title I of the National and Community Service Act of 1990(42 U.S.C. 12511 et., seq) are volunteers as described in section 5(a) of the Peace Corps act (22 U.S.C. 2504(a)), or are placed or retained in employment.</w:t>
      </w:r>
    </w:p>
    <w:p w14:paraId="378A6BED" w14:textId="77777777" w:rsidR="003C1719" w:rsidRDefault="003C1719" w:rsidP="003C1719">
      <w:pPr>
        <w:rPr>
          <w:rFonts w:ascii="Source Sans Pro" w:hAnsi="Source Sans Pro"/>
          <w:b/>
          <w:bCs/>
          <w:color w:val="1D3767"/>
          <w:sz w:val="28"/>
          <w:szCs w:val="28"/>
          <w:shd w:val="clear" w:color="auto" w:fill="FFFFFF"/>
        </w:rPr>
      </w:pPr>
      <w:r w:rsidRPr="00801EA3">
        <w:rPr>
          <w:rFonts w:ascii="Source Sans Pro" w:hAnsi="Source Sans Pro"/>
          <w:b/>
          <w:bCs/>
          <w:color w:val="1D3767"/>
          <w:sz w:val="28"/>
          <w:szCs w:val="28"/>
          <w:shd w:val="clear" w:color="auto" w:fill="FFFFFF"/>
        </w:rPr>
        <w:t>2P1: Earned Recognized Postsecondary Credential</w:t>
      </w:r>
    </w:p>
    <w:p w14:paraId="545B233C" w14:textId="77777777" w:rsidR="003C1719" w:rsidRPr="00B306A4" w:rsidRDefault="003C1719" w:rsidP="003C1719">
      <w:pPr>
        <w:rPr>
          <w:rFonts w:ascii="Source Sans Pro" w:hAnsi="Source Sans Pro"/>
          <w:bCs/>
          <w:sz w:val="28"/>
          <w:szCs w:val="28"/>
          <w:shd w:val="clear" w:color="auto" w:fill="FFFFFF"/>
        </w:rPr>
      </w:pPr>
      <w:r w:rsidRPr="00801EA3">
        <w:rPr>
          <w:rFonts w:ascii="Source Sans Pro" w:hAnsi="Source Sans Pro"/>
          <w:bCs/>
          <w:sz w:val="28"/>
          <w:szCs w:val="28"/>
          <w:shd w:val="clear" w:color="auto" w:fill="FFFFFF"/>
        </w:rPr>
        <w:t>The percentage of CTE concentrators who receive a recognized postsecondary credential during participation in or within 1 year of program completion.</w:t>
      </w:r>
    </w:p>
    <w:p w14:paraId="4763A138" w14:textId="77777777" w:rsidR="003C1719" w:rsidRDefault="003C1719" w:rsidP="003C1719">
      <w:pPr>
        <w:rPr>
          <w:rFonts w:ascii="Source Sans Pro" w:hAnsi="Source Sans Pro"/>
          <w:b/>
          <w:bCs/>
          <w:color w:val="1D3767"/>
          <w:sz w:val="28"/>
          <w:szCs w:val="28"/>
          <w:shd w:val="clear" w:color="auto" w:fill="FFFFFF"/>
        </w:rPr>
      </w:pPr>
      <w:r w:rsidRPr="00801EA3">
        <w:rPr>
          <w:rFonts w:ascii="Source Sans Pro" w:hAnsi="Source Sans Pro"/>
          <w:b/>
          <w:bCs/>
          <w:color w:val="1D3767"/>
          <w:sz w:val="28"/>
          <w:szCs w:val="28"/>
          <w:shd w:val="clear" w:color="auto" w:fill="FFFFFF"/>
        </w:rPr>
        <w:t>3P1: Non-Traditional Program Enrollment</w:t>
      </w:r>
    </w:p>
    <w:p w14:paraId="542CB4D0" w14:textId="77777777" w:rsidR="003C1719" w:rsidRDefault="003C1719" w:rsidP="003C1719">
      <w:pPr>
        <w:rPr>
          <w:rFonts w:ascii="Source Sans Pro" w:hAnsi="Source Sans Pro"/>
          <w:bCs/>
          <w:sz w:val="28"/>
          <w:szCs w:val="28"/>
          <w:shd w:val="clear" w:color="auto" w:fill="FFFFFF"/>
        </w:rPr>
      </w:pPr>
      <w:r w:rsidRPr="00801EA3">
        <w:rPr>
          <w:rFonts w:ascii="Source Sans Pro" w:hAnsi="Source Sans Pro"/>
          <w:bCs/>
          <w:sz w:val="28"/>
          <w:szCs w:val="28"/>
          <w:shd w:val="clear" w:color="auto" w:fill="FFFFFF"/>
        </w:rPr>
        <w:t xml:space="preserve">The percentage of CTE concentrators </w:t>
      </w:r>
      <w:r>
        <w:rPr>
          <w:rFonts w:ascii="Source Sans Pro" w:hAnsi="Source Sans Pro"/>
          <w:bCs/>
          <w:sz w:val="28"/>
          <w:szCs w:val="28"/>
          <w:shd w:val="clear" w:color="auto" w:fill="FFFFFF"/>
        </w:rPr>
        <w:t>in career and technical education programs and programs of study that lead to non-traditional fields.</w:t>
      </w:r>
    </w:p>
    <w:p w14:paraId="522176BD" w14:textId="77777777" w:rsidR="003C1719" w:rsidRPr="00B306A4" w:rsidRDefault="003C1719" w:rsidP="003C1719">
      <w:pPr>
        <w:rPr>
          <w:rFonts w:ascii="Source Sans Pro" w:hAnsi="Source Sans Pro"/>
          <w:bCs/>
          <w:sz w:val="28"/>
          <w:szCs w:val="28"/>
          <w:shd w:val="clear" w:color="auto" w:fill="FFFFFF"/>
        </w:rPr>
      </w:pPr>
    </w:p>
    <w:p w14:paraId="68D50F11" w14:textId="77777777" w:rsidR="00432987" w:rsidRDefault="00432987" w:rsidP="003C1719">
      <w:pPr>
        <w:rPr>
          <w:rFonts w:ascii="Source Sans Pro" w:hAnsi="Source Sans Pro"/>
          <w:b/>
          <w:bCs/>
          <w:color w:val="1D3767"/>
          <w:sz w:val="28"/>
          <w:szCs w:val="28"/>
          <w:shd w:val="clear" w:color="auto" w:fill="FFFFFF"/>
        </w:rPr>
      </w:pPr>
    </w:p>
    <w:p w14:paraId="50AFFA48" w14:textId="77777777" w:rsidR="00432987" w:rsidRDefault="00432987" w:rsidP="003C1719">
      <w:pPr>
        <w:rPr>
          <w:rFonts w:ascii="Source Sans Pro" w:hAnsi="Source Sans Pro"/>
          <w:b/>
          <w:bCs/>
          <w:color w:val="1D3767"/>
          <w:sz w:val="28"/>
          <w:szCs w:val="28"/>
          <w:shd w:val="clear" w:color="auto" w:fill="FFFFFF"/>
        </w:rPr>
      </w:pPr>
    </w:p>
    <w:p w14:paraId="0A2186B5" w14:textId="77777777" w:rsidR="00432987" w:rsidRDefault="00432987" w:rsidP="003C1719">
      <w:pPr>
        <w:rPr>
          <w:rFonts w:ascii="Source Sans Pro" w:hAnsi="Source Sans Pro"/>
          <w:b/>
          <w:bCs/>
          <w:color w:val="1D3767"/>
          <w:sz w:val="28"/>
          <w:szCs w:val="28"/>
          <w:shd w:val="clear" w:color="auto" w:fill="FFFFFF"/>
        </w:rPr>
      </w:pPr>
    </w:p>
    <w:p w14:paraId="43398C78" w14:textId="77777777" w:rsidR="00432987" w:rsidRDefault="00432987" w:rsidP="003C1719">
      <w:pPr>
        <w:rPr>
          <w:rFonts w:ascii="Source Sans Pro" w:hAnsi="Source Sans Pro"/>
          <w:b/>
          <w:bCs/>
          <w:color w:val="1D3767"/>
          <w:sz w:val="28"/>
          <w:szCs w:val="28"/>
          <w:shd w:val="clear" w:color="auto" w:fill="FFFFFF"/>
        </w:rPr>
      </w:pPr>
    </w:p>
    <w:p w14:paraId="11CEB2B6" w14:textId="77777777" w:rsidR="00432987" w:rsidRDefault="00432987" w:rsidP="003C1719">
      <w:pPr>
        <w:rPr>
          <w:rFonts w:ascii="Source Sans Pro" w:hAnsi="Source Sans Pro"/>
          <w:b/>
          <w:bCs/>
          <w:color w:val="1D3767"/>
          <w:sz w:val="28"/>
          <w:szCs w:val="28"/>
          <w:shd w:val="clear" w:color="auto" w:fill="FFFFFF"/>
        </w:rPr>
      </w:pPr>
    </w:p>
    <w:p w14:paraId="41AA9ECC" w14:textId="77777777" w:rsidR="00432987" w:rsidRDefault="00432987" w:rsidP="003C1719">
      <w:pPr>
        <w:rPr>
          <w:rFonts w:ascii="Source Sans Pro" w:hAnsi="Source Sans Pro"/>
          <w:b/>
          <w:bCs/>
          <w:color w:val="1D3767"/>
          <w:sz w:val="28"/>
          <w:szCs w:val="28"/>
          <w:shd w:val="clear" w:color="auto" w:fill="FFFFFF"/>
        </w:rPr>
      </w:pPr>
    </w:p>
    <w:p w14:paraId="499AD82B" w14:textId="77777777" w:rsidR="003C1719" w:rsidRDefault="003C1719" w:rsidP="003C1719">
      <w:pPr>
        <w:rPr>
          <w:rFonts w:ascii="Source Sans Pro" w:hAnsi="Source Sans Pro"/>
          <w:b/>
          <w:bCs/>
          <w:color w:val="1D3767"/>
          <w:sz w:val="28"/>
          <w:szCs w:val="28"/>
          <w:shd w:val="clear" w:color="auto" w:fill="FFFFFF"/>
        </w:rPr>
      </w:pPr>
      <w:r w:rsidRPr="00801EA3">
        <w:rPr>
          <w:rFonts w:ascii="Source Sans Pro" w:hAnsi="Source Sans Pro"/>
          <w:b/>
          <w:bCs/>
          <w:color w:val="1D3767"/>
          <w:sz w:val="28"/>
          <w:szCs w:val="28"/>
          <w:shd w:val="clear" w:color="auto" w:fill="FFFFFF"/>
        </w:rPr>
        <w:lastRenderedPageBreak/>
        <w:t>California Community Colleges Chancellor's Office Vision for Success Goals</w:t>
      </w:r>
      <w:r>
        <w:rPr>
          <w:rFonts w:ascii="Source Sans Pro" w:hAnsi="Source Sans Pro"/>
          <w:b/>
          <w:bCs/>
          <w:color w:val="1D3767"/>
          <w:sz w:val="28"/>
          <w:szCs w:val="28"/>
          <w:shd w:val="clear" w:color="auto" w:fill="FFFFFF"/>
        </w:rPr>
        <w:t>:</w:t>
      </w:r>
    </w:p>
    <w:p w14:paraId="5463BE37" w14:textId="77777777" w:rsidR="003C1719" w:rsidRPr="00801EA3" w:rsidRDefault="003C1719" w:rsidP="003C1719">
      <w:pPr>
        <w:rPr>
          <w:sz w:val="28"/>
          <w:szCs w:val="28"/>
        </w:rPr>
      </w:pPr>
    </w:p>
    <w:p w14:paraId="11852098" w14:textId="77777777" w:rsidR="003C1719" w:rsidRPr="00195C1D" w:rsidRDefault="003C1719" w:rsidP="003C1719">
      <w:pPr>
        <w:rPr>
          <w:sz w:val="28"/>
          <w:szCs w:val="28"/>
        </w:rPr>
      </w:pPr>
      <w:r w:rsidRPr="00195C1D">
        <w:rPr>
          <w:b/>
          <w:color w:val="244061" w:themeColor="accent1" w:themeShade="80"/>
          <w:sz w:val="28"/>
          <w:szCs w:val="28"/>
        </w:rPr>
        <w:t>INCREASE DEGREE &amp; CERTIFICATE ATTAINMENT</w:t>
      </w:r>
      <w:r w:rsidRPr="00195C1D">
        <w:rPr>
          <w:color w:val="244061" w:themeColor="accent1" w:themeShade="80"/>
          <w:sz w:val="28"/>
          <w:szCs w:val="28"/>
        </w:rPr>
        <w:t xml:space="preserve"> </w:t>
      </w:r>
      <w:r w:rsidRPr="00195C1D">
        <w:rPr>
          <w:sz w:val="28"/>
          <w:szCs w:val="28"/>
        </w:rPr>
        <w:t xml:space="preserve">Through Guided Pathways, colleges provide students with program maps that help them get and stay on the path that’s as straightforward as possible and furthers their career goals. </w:t>
      </w:r>
    </w:p>
    <w:p w14:paraId="3B402E2D" w14:textId="77777777" w:rsidR="003C1719" w:rsidRPr="00195C1D" w:rsidRDefault="003C1719" w:rsidP="003C1719">
      <w:pPr>
        <w:rPr>
          <w:sz w:val="28"/>
          <w:szCs w:val="28"/>
        </w:rPr>
      </w:pPr>
      <w:r w:rsidRPr="00195C1D">
        <w:rPr>
          <w:b/>
          <w:color w:val="244061" w:themeColor="accent1" w:themeShade="80"/>
          <w:sz w:val="28"/>
          <w:szCs w:val="28"/>
        </w:rPr>
        <w:t>INCREASE TRANSFERS TO FOUR-YEAR INSTITUTIONS</w:t>
      </w:r>
      <w:r w:rsidRPr="00195C1D">
        <w:rPr>
          <w:color w:val="244061" w:themeColor="accent1" w:themeShade="80"/>
          <w:sz w:val="28"/>
          <w:szCs w:val="28"/>
        </w:rPr>
        <w:t xml:space="preserve"> </w:t>
      </w:r>
      <w:r w:rsidRPr="00195C1D">
        <w:rPr>
          <w:sz w:val="28"/>
          <w:szCs w:val="28"/>
        </w:rPr>
        <w:t xml:space="preserve">Our student transfer rate continues to increase year over year. We’ve nearly doubled the number of students receiving associate degrees for transfer since 2015. Every year, our colleges introduce new degrees with a guarantee for transfer to the California State University system. </w:t>
      </w:r>
    </w:p>
    <w:p w14:paraId="28384EB7" w14:textId="77777777" w:rsidR="003C1719" w:rsidRPr="00195C1D" w:rsidRDefault="003C1719" w:rsidP="003C1719">
      <w:pPr>
        <w:rPr>
          <w:sz w:val="28"/>
          <w:szCs w:val="28"/>
        </w:rPr>
      </w:pPr>
      <w:r w:rsidRPr="00195C1D">
        <w:rPr>
          <w:b/>
          <w:color w:val="244061" w:themeColor="accent1" w:themeShade="80"/>
          <w:sz w:val="28"/>
          <w:szCs w:val="28"/>
        </w:rPr>
        <w:t>SECURE GAINFUL EMPLOYMENT</w:t>
      </w:r>
      <w:r w:rsidRPr="00195C1D">
        <w:rPr>
          <w:color w:val="244061" w:themeColor="accent1" w:themeShade="80"/>
          <w:sz w:val="28"/>
          <w:szCs w:val="28"/>
        </w:rPr>
        <w:t xml:space="preserve"> </w:t>
      </w:r>
      <w:r w:rsidRPr="00195C1D">
        <w:rPr>
          <w:sz w:val="28"/>
          <w:szCs w:val="28"/>
        </w:rPr>
        <w:t xml:space="preserve">We’re stepping up and playing a key role in connecting displaced workers who will be on the front lines of economic recovery efforts to career training opportunities. This means improving onramps to learning and off-ramps to work for learners of all ages. </w:t>
      </w:r>
    </w:p>
    <w:p w14:paraId="13307835" w14:textId="77777777" w:rsidR="003C1719" w:rsidRPr="00195C1D" w:rsidRDefault="003C1719" w:rsidP="003C1719">
      <w:pPr>
        <w:rPr>
          <w:sz w:val="28"/>
          <w:szCs w:val="28"/>
        </w:rPr>
      </w:pPr>
      <w:r w:rsidRPr="00195C1D">
        <w:rPr>
          <w:b/>
          <w:color w:val="244061" w:themeColor="accent1" w:themeShade="80"/>
          <w:sz w:val="28"/>
          <w:szCs w:val="28"/>
        </w:rPr>
        <w:t>REDUCE EXCESS UNIT ACCUMULATION BY STUDENTS</w:t>
      </w:r>
      <w:r w:rsidRPr="00195C1D">
        <w:rPr>
          <w:color w:val="244061" w:themeColor="accent1" w:themeShade="80"/>
          <w:sz w:val="28"/>
          <w:szCs w:val="28"/>
        </w:rPr>
        <w:t xml:space="preserve"> </w:t>
      </w:r>
      <w:r w:rsidRPr="00195C1D">
        <w:rPr>
          <w:sz w:val="28"/>
          <w:szCs w:val="28"/>
        </w:rPr>
        <w:t xml:space="preserve">By abandoning a placement system that failed to accurately measure students’ potential, particularly students of color, colleges more than doubled the number of transfer-level courses and significantly reduced or eliminated remedial courses that don’t count toward graduation. </w:t>
      </w:r>
    </w:p>
    <w:p w14:paraId="458045CC" w14:textId="77777777" w:rsidR="003C1719" w:rsidRPr="00195C1D" w:rsidRDefault="003C1719" w:rsidP="003C1719">
      <w:pPr>
        <w:rPr>
          <w:sz w:val="28"/>
          <w:szCs w:val="28"/>
        </w:rPr>
      </w:pPr>
      <w:r w:rsidRPr="00195C1D">
        <w:rPr>
          <w:b/>
          <w:color w:val="244061" w:themeColor="accent1" w:themeShade="80"/>
          <w:sz w:val="28"/>
          <w:szCs w:val="28"/>
        </w:rPr>
        <w:t>CLOSE EQUITY GAPS</w:t>
      </w:r>
      <w:r w:rsidRPr="00195C1D">
        <w:rPr>
          <w:color w:val="244061" w:themeColor="accent1" w:themeShade="80"/>
          <w:sz w:val="28"/>
          <w:szCs w:val="28"/>
        </w:rPr>
        <w:t xml:space="preserve"> </w:t>
      </w:r>
      <w:r w:rsidRPr="00195C1D">
        <w:rPr>
          <w:sz w:val="28"/>
          <w:szCs w:val="28"/>
        </w:rPr>
        <w:t xml:space="preserve">We’re asking colleges to identify students most in need so that they can tailor their support. We provided more flexibility with funding for programs and services that advance equity. </w:t>
      </w:r>
    </w:p>
    <w:p w14:paraId="650273F4" w14:textId="77777777" w:rsidR="003C1719" w:rsidRDefault="003C1719" w:rsidP="003C1719">
      <w:pPr>
        <w:rPr>
          <w:sz w:val="28"/>
          <w:szCs w:val="28"/>
        </w:rPr>
      </w:pPr>
      <w:r w:rsidRPr="00195C1D">
        <w:rPr>
          <w:b/>
          <w:color w:val="244061" w:themeColor="accent1" w:themeShade="80"/>
          <w:sz w:val="28"/>
          <w:szCs w:val="28"/>
        </w:rPr>
        <w:t>CLOSE REGIONAL ACHIEVEMENT GAPS</w:t>
      </w:r>
      <w:r w:rsidRPr="00195C1D">
        <w:rPr>
          <w:color w:val="244061" w:themeColor="accent1" w:themeShade="80"/>
          <w:sz w:val="28"/>
          <w:szCs w:val="28"/>
        </w:rPr>
        <w:t xml:space="preserve"> </w:t>
      </w:r>
      <w:r w:rsidRPr="00195C1D">
        <w:rPr>
          <w:sz w:val="28"/>
          <w:szCs w:val="28"/>
        </w:rPr>
        <w:t>Nearly half of our students have tuition covered by the California College Promise grant. We’re working with the legislature to increase financial aid and its flexibility so that students can cover other important college expenses like rent, food, and books</w:t>
      </w:r>
      <w:r>
        <w:rPr>
          <w:sz w:val="28"/>
          <w:szCs w:val="28"/>
        </w:rPr>
        <w:t>.</w:t>
      </w:r>
    </w:p>
    <w:p w14:paraId="2A275778" w14:textId="77777777" w:rsidR="003C1719" w:rsidRDefault="003C1719" w:rsidP="003C1719">
      <w:pPr>
        <w:rPr>
          <w:sz w:val="28"/>
          <w:szCs w:val="28"/>
        </w:rPr>
      </w:pPr>
    </w:p>
    <w:p w14:paraId="42536BCA" w14:textId="77777777" w:rsidR="003C1719" w:rsidRDefault="003C1719" w:rsidP="003C1719">
      <w:pPr>
        <w:rPr>
          <w:sz w:val="28"/>
          <w:szCs w:val="28"/>
        </w:rPr>
      </w:pPr>
    </w:p>
    <w:p w14:paraId="155AEC04" w14:textId="77777777" w:rsidR="003C1719" w:rsidRDefault="003C1719" w:rsidP="003C1719">
      <w:pPr>
        <w:rPr>
          <w:b/>
          <w:color w:val="1F497D" w:themeColor="text2"/>
          <w:sz w:val="28"/>
          <w:szCs w:val="28"/>
        </w:rPr>
      </w:pPr>
    </w:p>
    <w:p w14:paraId="5C1D21CE" w14:textId="77777777" w:rsidR="003C1719" w:rsidRDefault="003C1719" w:rsidP="003C1719">
      <w:pPr>
        <w:rPr>
          <w:b/>
          <w:color w:val="1F497D" w:themeColor="text2"/>
          <w:sz w:val="28"/>
          <w:szCs w:val="28"/>
        </w:rPr>
      </w:pPr>
    </w:p>
    <w:p w14:paraId="64A6B932" w14:textId="77777777" w:rsidR="003C1719" w:rsidRDefault="003C1719" w:rsidP="003C1719">
      <w:pPr>
        <w:rPr>
          <w:b/>
          <w:color w:val="1F497D" w:themeColor="text2"/>
          <w:sz w:val="28"/>
          <w:szCs w:val="28"/>
        </w:rPr>
      </w:pPr>
    </w:p>
    <w:p w14:paraId="6B1B9970" w14:textId="77777777" w:rsidR="003C1719" w:rsidRDefault="003C1719" w:rsidP="003C1719">
      <w:pPr>
        <w:rPr>
          <w:b/>
          <w:color w:val="1F497D" w:themeColor="text2"/>
          <w:sz w:val="28"/>
          <w:szCs w:val="28"/>
        </w:rPr>
      </w:pPr>
    </w:p>
    <w:p w14:paraId="1CDA5B92" w14:textId="77777777" w:rsidR="003C1719" w:rsidRPr="003C1719" w:rsidRDefault="003C1719" w:rsidP="003C1719">
      <w:pPr>
        <w:rPr>
          <w:b/>
          <w:color w:val="1F497D" w:themeColor="text2"/>
          <w:sz w:val="28"/>
          <w:szCs w:val="28"/>
        </w:rPr>
      </w:pPr>
      <w:r w:rsidRPr="003C1719">
        <w:rPr>
          <w:b/>
          <w:color w:val="1F497D" w:themeColor="text2"/>
          <w:sz w:val="28"/>
          <w:szCs w:val="28"/>
        </w:rPr>
        <w:t>SWP Employer Engagement Goals</w:t>
      </w:r>
    </w:p>
    <w:p w14:paraId="7FF7A981" w14:textId="77777777" w:rsidR="003C1719" w:rsidRDefault="003C1719" w:rsidP="003C1719">
      <w:pPr>
        <w:rPr>
          <w:sz w:val="28"/>
          <w:szCs w:val="28"/>
        </w:rPr>
      </w:pPr>
    </w:p>
    <w:p w14:paraId="5B2EC647" w14:textId="77777777" w:rsidR="003C1719" w:rsidRPr="003C1719" w:rsidRDefault="003C1719" w:rsidP="003C1719">
      <w:pPr>
        <w:rPr>
          <w:sz w:val="28"/>
          <w:szCs w:val="28"/>
        </w:rPr>
      </w:pPr>
      <w:r w:rsidRPr="003C1719">
        <w:rPr>
          <w:bCs/>
          <w:sz w:val="28"/>
          <w:szCs w:val="28"/>
        </w:rPr>
        <w:t xml:space="preserve">I. </w:t>
      </w:r>
      <w:r>
        <w:rPr>
          <w:bCs/>
          <w:sz w:val="28"/>
          <w:szCs w:val="28"/>
        </w:rPr>
        <w:tab/>
      </w:r>
      <w:r w:rsidRPr="003C1719">
        <w:rPr>
          <w:bCs/>
          <w:sz w:val="28"/>
          <w:szCs w:val="28"/>
        </w:rPr>
        <w:t>The expansion of work-based learning for all students</w:t>
      </w:r>
      <w:r>
        <w:rPr>
          <w:bCs/>
          <w:sz w:val="28"/>
          <w:szCs w:val="28"/>
        </w:rPr>
        <w:t xml:space="preserve"> in the program of study</w:t>
      </w:r>
    </w:p>
    <w:p w14:paraId="2C797AEB" w14:textId="77777777" w:rsidR="003C1719" w:rsidRPr="003C1719" w:rsidRDefault="003C1719" w:rsidP="003C1719">
      <w:pPr>
        <w:rPr>
          <w:sz w:val="28"/>
          <w:szCs w:val="28"/>
        </w:rPr>
      </w:pPr>
      <w:r w:rsidRPr="003C1719">
        <w:rPr>
          <w:bCs/>
          <w:sz w:val="28"/>
          <w:szCs w:val="28"/>
        </w:rPr>
        <w:t xml:space="preserve">II.  </w:t>
      </w:r>
      <w:r>
        <w:rPr>
          <w:bCs/>
          <w:sz w:val="28"/>
          <w:szCs w:val="28"/>
        </w:rPr>
        <w:tab/>
      </w:r>
      <w:r w:rsidRPr="003C1719">
        <w:rPr>
          <w:bCs/>
          <w:sz w:val="28"/>
          <w:szCs w:val="28"/>
        </w:rPr>
        <w:t>The increase of student employment outcomes</w:t>
      </w:r>
    </w:p>
    <w:p w14:paraId="4B6D5D24" w14:textId="77777777" w:rsidR="003C1719" w:rsidRPr="003C1719" w:rsidRDefault="003C1719" w:rsidP="003C1719">
      <w:pPr>
        <w:rPr>
          <w:sz w:val="28"/>
          <w:szCs w:val="28"/>
        </w:rPr>
      </w:pPr>
      <w:r w:rsidRPr="003C1719">
        <w:rPr>
          <w:bCs/>
          <w:sz w:val="28"/>
          <w:szCs w:val="28"/>
        </w:rPr>
        <w:t xml:space="preserve">III.  The responsiveness of </w:t>
      </w:r>
      <w:r>
        <w:rPr>
          <w:bCs/>
          <w:sz w:val="28"/>
          <w:szCs w:val="28"/>
        </w:rPr>
        <w:t>activity goal</w:t>
      </w:r>
      <w:r w:rsidRPr="003C1719">
        <w:rPr>
          <w:bCs/>
          <w:sz w:val="28"/>
          <w:szCs w:val="28"/>
        </w:rPr>
        <w:t xml:space="preserve"> to the training needs of employers </w:t>
      </w:r>
    </w:p>
    <w:p w14:paraId="3D9B0AC4" w14:textId="77777777" w:rsidR="00F13E69" w:rsidRPr="00135A34" w:rsidRDefault="00F13E69" w:rsidP="007F35B5"/>
    <w:sectPr w:rsidR="00F13E69" w:rsidRPr="00135A34" w:rsidSect="0041673A">
      <w:head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0996" w14:textId="77777777" w:rsidR="00C81C12" w:rsidRDefault="00C81C12">
      <w:r>
        <w:separator/>
      </w:r>
    </w:p>
  </w:endnote>
  <w:endnote w:type="continuationSeparator" w:id="0">
    <w:p w14:paraId="34C248CC" w14:textId="77777777" w:rsidR="00C81C12" w:rsidRDefault="00C8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Bold">
    <w:panose1 w:val="020B07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6D9E" w14:textId="77777777" w:rsidR="00C81C12" w:rsidRDefault="00C81C12">
      <w:r>
        <w:separator/>
      </w:r>
    </w:p>
  </w:footnote>
  <w:footnote w:type="continuationSeparator" w:id="0">
    <w:p w14:paraId="0A443B99" w14:textId="77777777" w:rsidR="00C81C12" w:rsidRDefault="00C8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D4A5" w14:textId="77777777" w:rsidR="008E234A" w:rsidRDefault="008E234A">
    <w:pPr>
      <w:pStyle w:val="Header"/>
    </w:pPr>
  </w:p>
  <w:tbl>
    <w:tblPr>
      <w:tblStyle w:val="TableGrid"/>
      <w:tblW w:w="13662" w:type="dxa"/>
      <w:tblInd w:w="-792" w:type="dxa"/>
      <w:tblLook w:val="04A0" w:firstRow="1" w:lastRow="0" w:firstColumn="1" w:lastColumn="0" w:noHBand="0" w:noVBand="1"/>
    </w:tblPr>
    <w:tblGrid>
      <w:gridCol w:w="3365"/>
      <w:gridCol w:w="10297"/>
    </w:tblGrid>
    <w:tr w:rsidR="008E234A" w14:paraId="0FFAC52D" w14:textId="77777777" w:rsidTr="00BE6147">
      <w:trPr>
        <w:trHeight w:val="1436"/>
      </w:trPr>
      <w:tc>
        <w:tcPr>
          <w:tcW w:w="3365" w:type="dxa"/>
          <w:tcBorders>
            <w:top w:val="nil"/>
            <w:left w:val="nil"/>
            <w:bottom w:val="nil"/>
            <w:right w:val="nil"/>
          </w:tcBorders>
        </w:tcPr>
        <w:p w14:paraId="16F49563" w14:textId="77777777" w:rsidR="008E234A" w:rsidRDefault="008E234A" w:rsidP="008E234A">
          <w:r>
            <w:rPr>
              <w:noProof/>
            </w:rPr>
            <w:drawing>
              <wp:inline distT="0" distB="0" distL="0" distR="0" wp14:anchorId="5AFFBB1F" wp14:editId="1FBA74D9">
                <wp:extent cx="1875802" cy="937901"/>
                <wp:effectExtent l="0" t="0" r="3810" b="1905"/>
                <wp:docPr id="3" name="Picture 3" descr="Macintosh HD:Users:vessellas:Desktop:coc_logo_4x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essellas:Desktop:coc_logo_4x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790" cy="938395"/>
                        </a:xfrm>
                        <a:prstGeom prst="rect">
                          <a:avLst/>
                        </a:prstGeom>
                        <a:noFill/>
                        <a:ln>
                          <a:noFill/>
                        </a:ln>
                      </pic:spPr>
                    </pic:pic>
                  </a:graphicData>
                </a:graphic>
              </wp:inline>
            </w:drawing>
          </w:r>
        </w:p>
      </w:tc>
      <w:tc>
        <w:tcPr>
          <w:tcW w:w="10297" w:type="dxa"/>
          <w:tcBorders>
            <w:left w:val="nil"/>
          </w:tcBorders>
          <w:shd w:val="clear" w:color="auto" w:fill="00499C"/>
        </w:tcPr>
        <w:p w14:paraId="4013A978" w14:textId="77777777" w:rsidR="008E234A" w:rsidRPr="00135A34" w:rsidRDefault="008E234A" w:rsidP="008E234A">
          <w:pPr>
            <w:rPr>
              <w:color w:val="FFC000"/>
            </w:rPr>
          </w:pPr>
        </w:p>
        <w:p w14:paraId="4D592467" w14:textId="77777777" w:rsidR="008E234A" w:rsidRPr="00135A34" w:rsidRDefault="008E234A" w:rsidP="008E234A">
          <w:pPr>
            <w:rPr>
              <w:rFonts w:ascii="Arial Narrow Bold" w:hAnsi="Arial Narrow Bold"/>
              <w:color w:val="FFC000"/>
              <w:sz w:val="48"/>
            </w:rPr>
          </w:pPr>
          <w:r w:rsidRPr="00135A34">
            <w:rPr>
              <w:rFonts w:ascii="Arial Narrow Bold" w:hAnsi="Arial Narrow Bold"/>
              <w:color w:val="FFC000"/>
              <w:sz w:val="32"/>
            </w:rPr>
            <w:t xml:space="preserve"> </w:t>
          </w:r>
          <w:r w:rsidRPr="00135A34">
            <w:rPr>
              <w:rFonts w:ascii="Arial Narrow Bold" w:hAnsi="Arial Narrow Bold"/>
              <w:color w:val="FFC000"/>
              <w:sz w:val="40"/>
              <w:szCs w:val="40"/>
            </w:rPr>
            <w:t>CTE</w:t>
          </w:r>
          <w:r w:rsidR="00A86FAD">
            <w:rPr>
              <w:rFonts w:ascii="Arial Narrow Bold" w:hAnsi="Arial Narrow Bold"/>
              <w:color w:val="FFC000"/>
              <w:sz w:val="32"/>
            </w:rPr>
            <w:t>: FY</w:t>
          </w:r>
          <w:r w:rsidR="000E374F">
            <w:rPr>
              <w:rFonts w:ascii="Arial Narrow Bold" w:hAnsi="Arial Narrow Bold"/>
              <w:color w:val="FFC000"/>
              <w:sz w:val="32"/>
            </w:rPr>
            <w:t>2</w:t>
          </w:r>
          <w:r w:rsidR="007F35B5">
            <w:rPr>
              <w:rFonts w:ascii="Arial Narrow Bold" w:hAnsi="Arial Narrow Bold"/>
              <w:color w:val="FFC000"/>
              <w:sz w:val="32"/>
            </w:rPr>
            <w:t>3</w:t>
          </w:r>
          <w:r w:rsidR="00A86FAD">
            <w:rPr>
              <w:rFonts w:ascii="Arial Narrow Bold" w:hAnsi="Arial Narrow Bold"/>
              <w:color w:val="FFC000"/>
              <w:sz w:val="32"/>
            </w:rPr>
            <w:t xml:space="preserve"> </w:t>
          </w:r>
          <w:r w:rsidR="00135A34" w:rsidRPr="00135A34">
            <w:rPr>
              <w:rFonts w:ascii="Arial Narrow Bold" w:hAnsi="Arial Narrow Bold"/>
              <w:color w:val="FFC000"/>
              <w:sz w:val="32"/>
            </w:rPr>
            <w:t>PERKINS PROGRAM PLANNING</w:t>
          </w:r>
          <w:r w:rsidRPr="00135A34">
            <w:rPr>
              <w:rFonts w:ascii="Arial Narrow Bold" w:hAnsi="Arial Narrow Bold"/>
              <w:color w:val="FFC000"/>
              <w:sz w:val="36"/>
              <w:szCs w:val="36"/>
            </w:rPr>
            <w:t xml:space="preserve"> </w:t>
          </w:r>
          <w:r w:rsidRPr="00135A34">
            <w:rPr>
              <w:rFonts w:ascii="Arial Narrow Bold" w:hAnsi="Arial Narrow Bold"/>
              <w:color w:val="FFC000"/>
              <w:sz w:val="48"/>
            </w:rPr>
            <w:t xml:space="preserve"> </w:t>
          </w:r>
        </w:p>
        <w:p w14:paraId="6FD66C04" w14:textId="77777777" w:rsidR="008E234A" w:rsidRPr="00135A34" w:rsidRDefault="008E234A" w:rsidP="008E234A">
          <w:pPr>
            <w:rPr>
              <w:color w:val="FFC000"/>
              <w:sz w:val="48"/>
              <w:szCs w:val="48"/>
            </w:rPr>
          </w:pPr>
          <w:r w:rsidRPr="00135A34">
            <w:rPr>
              <w:rFonts w:ascii="Arial Narrow Bold" w:hAnsi="Arial Narrow Bold"/>
              <w:color w:val="FFC000"/>
              <w:sz w:val="48"/>
            </w:rPr>
            <w:t xml:space="preserve"> </w:t>
          </w:r>
          <w:r w:rsidR="00135A34" w:rsidRPr="00135A34">
            <w:rPr>
              <w:rFonts w:ascii="Arial Narrow Bold" w:hAnsi="Arial Narrow Bold"/>
              <w:color w:val="FFFFFF" w:themeColor="background1"/>
              <w:sz w:val="48"/>
              <w:szCs w:val="48"/>
            </w:rPr>
            <w:t>REQUIRED USE OF FUNDS ASSESSMENT</w:t>
          </w:r>
        </w:p>
      </w:tc>
    </w:tr>
  </w:tbl>
  <w:p w14:paraId="226AFC3B" w14:textId="77777777" w:rsidR="008E234A" w:rsidRDefault="008E2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252A" w14:textId="77777777" w:rsidR="00857CAF" w:rsidRDefault="00857CAF">
    <w:pPr>
      <w:pStyle w:val="Header"/>
    </w:pPr>
  </w:p>
  <w:tbl>
    <w:tblPr>
      <w:tblStyle w:val="TableGrid"/>
      <w:tblW w:w="13662" w:type="dxa"/>
      <w:tblInd w:w="-792" w:type="dxa"/>
      <w:tblLook w:val="04A0" w:firstRow="1" w:lastRow="0" w:firstColumn="1" w:lastColumn="0" w:noHBand="0" w:noVBand="1"/>
    </w:tblPr>
    <w:tblGrid>
      <w:gridCol w:w="3365"/>
      <w:gridCol w:w="10297"/>
    </w:tblGrid>
    <w:tr w:rsidR="00857CAF" w14:paraId="2053EBDA" w14:textId="77777777" w:rsidTr="00BE6147">
      <w:trPr>
        <w:trHeight w:val="1436"/>
      </w:trPr>
      <w:tc>
        <w:tcPr>
          <w:tcW w:w="3365" w:type="dxa"/>
          <w:tcBorders>
            <w:top w:val="nil"/>
            <w:left w:val="nil"/>
            <w:bottom w:val="nil"/>
            <w:right w:val="nil"/>
          </w:tcBorders>
        </w:tcPr>
        <w:p w14:paraId="32268FF4" w14:textId="77777777" w:rsidR="00857CAF" w:rsidRDefault="00857CAF" w:rsidP="008E234A">
          <w:r>
            <w:rPr>
              <w:noProof/>
            </w:rPr>
            <w:drawing>
              <wp:inline distT="0" distB="0" distL="0" distR="0" wp14:anchorId="4F21617A" wp14:editId="4EA56B72">
                <wp:extent cx="1875802" cy="937901"/>
                <wp:effectExtent l="0" t="0" r="3810" b="1905"/>
                <wp:docPr id="5" name="Picture 5" descr="Macintosh HD:Users:vessellas:Desktop:coc_logo_4x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essellas:Desktop:coc_logo_4x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790" cy="938395"/>
                        </a:xfrm>
                        <a:prstGeom prst="rect">
                          <a:avLst/>
                        </a:prstGeom>
                        <a:noFill/>
                        <a:ln>
                          <a:noFill/>
                        </a:ln>
                      </pic:spPr>
                    </pic:pic>
                  </a:graphicData>
                </a:graphic>
              </wp:inline>
            </w:drawing>
          </w:r>
        </w:p>
      </w:tc>
      <w:tc>
        <w:tcPr>
          <w:tcW w:w="10297" w:type="dxa"/>
          <w:tcBorders>
            <w:left w:val="nil"/>
          </w:tcBorders>
          <w:shd w:val="clear" w:color="auto" w:fill="00499C"/>
        </w:tcPr>
        <w:p w14:paraId="0C6D595D" w14:textId="77777777" w:rsidR="00857CAF" w:rsidRPr="00135A34" w:rsidRDefault="00857CAF" w:rsidP="008E234A">
          <w:pPr>
            <w:rPr>
              <w:color w:val="FFC000"/>
            </w:rPr>
          </w:pPr>
        </w:p>
        <w:p w14:paraId="5A09F078" w14:textId="77777777" w:rsidR="00857CAF" w:rsidRPr="00135A34" w:rsidRDefault="00857CAF" w:rsidP="008E234A">
          <w:pPr>
            <w:rPr>
              <w:rFonts w:ascii="Arial Narrow Bold" w:hAnsi="Arial Narrow Bold"/>
              <w:color w:val="FFC000"/>
              <w:sz w:val="48"/>
            </w:rPr>
          </w:pPr>
          <w:r w:rsidRPr="00135A34">
            <w:rPr>
              <w:rFonts w:ascii="Arial Narrow Bold" w:hAnsi="Arial Narrow Bold"/>
              <w:color w:val="FFC000"/>
              <w:sz w:val="32"/>
            </w:rPr>
            <w:t xml:space="preserve"> </w:t>
          </w:r>
          <w:r w:rsidRPr="00135A34">
            <w:rPr>
              <w:rFonts w:ascii="Arial Narrow Bold" w:hAnsi="Arial Narrow Bold"/>
              <w:color w:val="FFC000"/>
              <w:sz w:val="40"/>
              <w:szCs w:val="40"/>
            </w:rPr>
            <w:t>CTE</w:t>
          </w:r>
          <w:r w:rsidR="00A86FAD">
            <w:rPr>
              <w:rFonts w:ascii="Arial Narrow Bold" w:hAnsi="Arial Narrow Bold"/>
              <w:color w:val="FFC000"/>
              <w:sz w:val="32"/>
            </w:rPr>
            <w:t>: FY</w:t>
          </w:r>
          <w:r w:rsidR="007C347C">
            <w:rPr>
              <w:rFonts w:ascii="Arial Narrow Bold" w:hAnsi="Arial Narrow Bold"/>
              <w:color w:val="FFC000"/>
              <w:sz w:val="32"/>
            </w:rPr>
            <w:t>2</w:t>
          </w:r>
          <w:r w:rsidR="007F35B5">
            <w:rPr>
              <w:rFonts w:ascii="Arial Narrow Bold" w:hAnsi="Arial Narrow Bold"/>
              <w:color w:val="FFC000"/>
              <w:sz w:val="32"/>
            </w:rPr>
            <w:t>3</w:t>
          </w:r>
          <w:r w:rsidRPr="00135A34">
            <w:rPr>
              <w:rFonts w:ascii="Arial Narrow Bold" w:hAnsi="Arial Narrow Bold"/>
              <w:color w:val="FFC000"/>
              <w:sz w:val="32"/>
            </w:rPr>
            <w:t xml:space="preserve"> PROGRAM PLANNING</w:t>
          </w:r>
          <w:r w:rsidRPr="00135A34">
            <w:rPr>
              <w:rFonts w:ascii="Arial Narrow Bold" w:hAnsi="Arial Narrow Bold"/>
              <w:color w:val="FFC000"/>
              <w:sz w:val="36"/>
              <w:szCs w:val="36"/>
            </w:rPr>
            <w:t xml:space="preserve"> </w:t>
          </w:r>
          <w:r w:rsidRPr="00135A34">
            <w:rPr>
              <w:rFonts w:ascii="Arial Narrow Bold" w:hAnsi="Arial Narrow Bold"/>
              <w:color w:val="FFC000"/>
              <w:sz w:val="48"/>
            </w:rPr>
            <w:t xml:space="preserve"> </w:t>
          </w:r>
        </w:p>
        <w:p w14:paraId="4A5B0176" w14:textId="77777777" w:rsidR="00857CAF" w:rsidRPr="00135A34" w:rsidRDefault="00857CAF" w:rsidP="008E234A">
          <w:pPr>
            <w:rPr>
              <w:color w:val="FFC000"/>
              <w:sz w:val="48"/>
              <w:szCs w:val="48"/>
            </w:rPr>
          </w:pPr>
          <w:r w:rsidRPr="00135A34">
            <w:rPr>
              <w:rFonts w:ascii="Arial Narrow Bold" w:hAnsi="Arial Narrow Bold"/>
              <w:color w:val="FFC000"/>
              <w:sz w:val="48"/>
            </w:rPr>
            <w:t xml:space="preserve"> </w:t>
          </w:r>
          <w:r>
            <w:rPr>
              <w:rFonts w:ascii="Arial Narrow Bold" w:hAnsi="Arial Narrow Bold"/>
              <w:color w:val="FFFFFF" w:themeColor="background1"/>
              <w:sz w:val="48"/>
              <w:szCs w:val="48"/>
            </w:rPr>
            <w:t>GOALS AND ACTIVITIES</w:t>
          </w:r>
        </w:p>
      </w:tc>
    </w:tr>
  </w:tbl>
  <w:p w14:paraId="4E8BD7D2" w14:textId="77777777" w:rsidR="00857CAF" w:rsidRDefault="00857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D0C3" w14:textId="77777777" w:rsidR="00237049" w:rsidRDefault="00237049">
    <w:pPr>
      <w:pStyle w:val="Header"/>
    </w:pPr>
  </w:p>
  <w:p w14:paraId="6EE3A6B9" w14:textId="77777777" w:rsidR="00F13E69" w:rsidRDefault="00F13E69" w:rsidP="00F13E69">
    <w:pPr>
      <w:pStyle w:val="Header"/>
    </w:pPr>
  </w:p>
  <w:tbl>
    <w:tblPr>
      <w:tblStyle w:val="TableGrid"/>
      <w:tblW w:w="13662" w:type="dxa"/>
      <w:tblInd w:w="-792" w:type="dxa"/>
      <w:tblLook w:val="04A0" w:firstRow="1" w:lastRow="0" w:firstColumn="1" w:lastColumn="0" w:noHBand="0" w:noVBand="1"/>
    </w:tblPr>
    <w:tblGrid>
      <w:gridCol w:w="3365"/>
      <w:gridCol w:w="10297"/>
    </w:tblGrid>
    <w:tr w:rsidR="00F13E69" w14:paraId="376D34C8" w14:textId="77777777" w:rsidTr="0002126B">
      <w:trPr>
        <w:trHeight w:val="1436"/>
      </w:trPr>
      <w:tc>
        <w:tcPr>
          <w:tcW w:w="3365" w:type="dxa"/>
          <w:tcBorders>
            <w:top w:val="nil"/>
            <w:left w:val="nil"/>
            <w:bottom w:val="nil"/>
            <w:right w:val="nil"/>
          </w:tcBorders>
        </w:tcPr>
        <w:p w14:paraId="2E7FF7E7" w14:textId="77777777" w:rsidR="00F13E69" w:rsidRDefault="00F13E69" w:rsidP="00F13E69">
          <w:r>
            <w:rPr>
              <w:noProof/>
            </w:rPr>
            <w:drawing>
              <wp:inline distT="0" distB="0" distL="0" distR="0" wp14:anchorId="3B17E45C" wp14:editId="1EA05F23">
                <wp:extent cx="1875802" cy="937901"/>
                <wp:effectExtent l="0" t="0" r="3810" b="1905"/>
                <wp:docPr id="1" name="Picture 1" descr="Macintosh HD:Users:vessellas:Desktop:coc_logo_4x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essellas:Desktop:coc_logo_4x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790" cy="938395"/>
                        </a:xfrm>
                        <a:prstGeom prst="rect">
                          <a:avLst/>
                        </a:prstGeom>
                        <a:noFill/>
                        <a:ln>
                          <a:noFill/>
                        </a:ln>
                      </pic:spPr>
                    </pic:pic>
                  </a:graphicData>
                </a:graphic>
              </wp:inline>
            </w:drawing>
          </w:r>
        </w:p>
      </w:tc>
      <w:tc>
        <w:tcPr>
          <w:tcW w:w="10297" w:type="dxa"/>
          <w:tcBorders>
            <w:left w:val="nil"/>
          </w:tcBorders>
          <w:shd w:val="clear" w:color="auto" w:fill="00499C"/>
        </w:tcPr>
        <w:p w14:paraId="7E561395" w14:textId="77777777" w:rsidR="00F13E69" w:rsidRPr="00135A34" w:rsidRDefault="00F13E69" w:rsidP="00F13E69">
          <w:pPr>
            <w:rPr>
              <w:color w:val="FFC000"/>
            </w:rPr>
          </w:pPr>
        </w:p>
        <w:p w14:paraId="473A43F3" w14:textId="77777777" w:rsidR="00F13E69" w:rsidRPr="00135A34" w:rsidRDefault="00F13E69" w:rsidP="00F13E69">
          <w:pPr>
            <w:rPr>
              <w:rFonts w:ascii="Arial Narrow Bold" w:hAnsi="Arial Narrow Bold"/>
              <w:color w:val="FFC000"/>
              <w:sz w:val="48"/>
            </w:rPr>
          </w:pPr>
          <w:r w:rsidRPr="00135A34">
            <w:rPr>
              <w:rFonts w:ascii="Arial Narrow Bold" w:hAnsi="Arial Narrow Bold"/>
              <w:color w:val="FFC000"/>
              <w:sz w:val="32"/>
            </w:rPr>
            <w:t xml:space="preserve"> </w:t>
          </w:r>
          <w:r w:rsidRPr="00135A34">
            <w:rPr>
              <w:rFonts w:ascii="Arial Narrow Bold" w:hAnsi="Arial Narrow Bold"/>
              <w:color w:val="FFC000"/>
              <w:sz w:val="40"/>
              <w:szCs w:val="40"/>
            </w:rPr>
            <w:t>CTE</w:t>
          </w:r>
          <w:r>
            <w:rPr>
              <w:rFonts w:ascii="Arial Narrow Bold" w:hAnsi="Arial Narrow Bold"/>
              <w:color w:val="FFC000"/>
              <w:sz w:val="32"/>
            </w:rPr>
            <w:t>: FY23</w:t>
          </w:r>
          <w:r w:rsidRPr="00135A34">
            <w:rPr>
              <w:rFonts w:ascii="Arial Narrow Bold" w:hAnsi="Arial Narrow Bold"/>
              <w:color w:val="FFC000"/>
              <w:sz w:val="32"/>
            </w:rPr>
            <w:t xml:space="preserve">  PROGRAM PLANNING</w:t>
          </w:r>
          <w:r w:rsidRPr="00135A34">
            <w:rPr>
              <w:rFonts w:ascii="Arial Narrow Bold" w:hAnsi="Arial Narrow Bold"/>
              <w:color w:val="FFC000"/>
              <w:sz w:val="36"/>
              <w:szCs w:val="36"/>
            </w:rPr>
            <w:t xml:space="preserve"> </w:t>
          </w:r>
          <w:r w:rsidRPr="00135A34">
            <w:rPr>
              <w:rFonts w:ascii="Arial Narrow Bold" w:hAnsi="Arial Narrow Bold"/>
              <w:color w:val="FFC000"/>
              <w:sz w:val="48"/>
            </w:rPr>
            <w:t xml:space="preserve"> </w:t>
          </w:r>
        </w:p>
        <w:p w14:paraId="214D8ED5" w14:textId="77777777" w:rsidR="00F13E69" w:rsidRPr="00135A34" w:rsidRDefault="00F13E69" w:rsidP="00F13E69">
          <w:pPr>
            <w:rPr>
              <w:color w:val="FFC000"/>
              <w:sz w:val="48"/>
              <w:szCs w:val="48"/>
            </w:rPr>
          </w:pPr>
          <w:r w:rsidRPr="00135A34">
            <w:rPr>
              <w:rFonts w:ascii="Arial Narrow Bold" w:hAnsi="Arial Narrow Bold"/>
              <w:color w:val="FFC000"/>
              <w:sz w:val="48"/>
            </w:rPr>
            <w:t xml:space="preserve"> </w:t>
          </w:r>
          <w:r>
            <w:rPr>
              <w:rFonts w:ascii="Arial Narrow Bold" w:hAnsi="Arial Narrow Bold"/>
              <w:color w:val="FFFFFF" w:themeColor="background1"/>
              <w:sz w:val="48"/>
              <w:szCs w:val="48"/>
            </w:rPr>
            <w:t>GOALS AND ACTIVITIES</w:t>
          </w:r>
        </w:p>
      </w:tc>
    </w:tr>
  </w:tbl>
  <w:p w14:paraId="738EA75B" w14:textId="77777777" w:rsidR="00237049" w:rsidRDefault="00237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3C9"/>
    <w:multiLevelType w:val="hybridMultilevel"/>
    <w:tmpl w:val="9208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92879"/>
    <w:multiLevelType w:val="hybridMultilevel"/>
    <w:tmpl w:val="DCB6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C720E"/>
    <w:multiLevelType w:val="hybridMultilevel"/>
    <w:tmpl w:val="4B0C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46B41"/>
    <w:multiLevelType w:val="hybridMultilevel"/>
    <w:tmpl w:val="FA16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20261"/>
    <w:multiLevelType w:val="hybridMultilevel"/>
    <w:tmpl w:val="E7FA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B2CB6"/>
    <w:multiLevelType w:val="hybridMultilevel"/>
    <w:tmpl w:val="FFEA4D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9E02102"/>
    <w:multiLevelType w:val="hybridMultilevel"/>
    <w:tmpl w:val="E996E6E2"/>
    <w:lvl w:ilvl="0" w:tplc="42980FA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BF72F2"/>
    <w:multiLevelType w:val="hybridMultilevel"/>
    <w:tmpl w:val="D834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A5AEA"/>
    <w:multiLevelType w:val="hybridMultilevel"/>
    <w:tmpl w:val="F3F6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46208"/>
    <w:multiLevelType w:val="hybridMultilevel"/>
    <w:tmpl w:val="401257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26A675F"/>
    <w:multiLevelType w:val="hybridMultilevel"/>
    <w:tmpl w:val="7A14EA08"/>
    <w:lvl w:ilvl="0" w:tplc="D628778C">
      <w:start w:val="1"/>
      <w:numFmt w:val="decimal"/>
      <w:lvlText w:val="%1."/>
      <w:lvlJc w:val="left"/>
      <w:pPr>
        <w:tabs>
          <w:tab w:val="num" w:pos="735"/>
        </w:tabs>
        <w:ind w:left="735" w:hanging="375"/>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3D856BA"/>
    <w:multiLevelType w:val="hybridMultilevel"/>
    <w:tmpl w:val="F01AD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C2A73"/>
    <w:multiLevelType w:val="hybridMultilevel"/>
    <w:tmpl w:val="55BEC7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5A3CBA"/>
    <w:multiLevelType w:val="hybridMultilevel"/>
    <w:tmpl w:val="C6C2A8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C03CDE"/>
    <w:multiLevelType w:val="hybridMultilevel"/>
    <w:tmpl w:val="9FEE0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18398F"/>
    <w:multiLevelType w:val="hybridMultilevel"/>
    <w:tmpl w:val="B90C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251D4"/>
    <w:multiLevelType w:val="hybridMultilevel"/>
    <w:tmpl w:val="CBAE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81658C"/>
    <w:multiLevelType w:val="hybridMultilevel"/>
    <w:tmpl w:val="00B2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722533">
    <w:abstractNumId w:val="2"/>
  </w:num>
  <w:num w:numId="2" w16cid:durableId="1166483699">
    <w:abstractNumId w:val="14"/>
  </w:num>
  <w:num w:numId="3" w16cid:durableId="176770652">
    <w:abstractNumId w:val="1"/>
  </w:num>
  <w:num w:numId="4" w16cid:durableId="2060666582">
    <w:abstractNumId w:val="0"/>
  </w:num>
  <w:num w:numId="5" w16cid:durableId="1941646357">
    <w:abstractNumId w:val="11"/>
  </w:num>
  <w:num w:numId="6" w16cid:durableId="1869875424">
    <w:abstractNumId w:val="10"/>
  </w:num>
  <w:num w:numId="7" w16cid:durableId="80493374">
    <w:abstractNumId w:val="6"/>
  </w:num>
  <w:num w:numId="8" w16cid:durableId="1716269444">
    <w:abstractNumId w:val="13"/>
  </w:num>
  <w:num w:numId="9" w16cid:durableId="1238902331">
    <w:abstractNumId w:val="12"/>
  </w:num>
  <w:num w:numId="10" w16cid:durableId="65302820">
    <w:abstractNumId w:val="16"/>
  </w:num>
  <w:num w:numId="11" w16cid:durableId="287131438">
    <w:abstractNumId w:val="17"/>
  </w:num>
  <w:num w:numId="12" w16cid:durableId="595479745">
    <w:abstractNumId w:val="3"/>
  </w:num>
  <w:num w:numId="13" w16cid:durableId="1870144185">
    <w:abstractNumId w:val="15"/>
  </w:num>
  <w:num w:numId="14" w16cid:durableId="1744718567">
    <w:abstractNumId w:val="9"/>
  </w:num>
  <w:num w:numId="15" w16cid:durableId="1018851334">
    <w:abstractNumId w:val="5"/>
  </w:num>
  <w:num w:numId="16" w16cid:durableId="1872759246">
    <w:abstractNumId w:val="8"/>
  </w:num>
  <w:num w:numId="17" w16cid:durableId="1232154753">
    <w:abstractNumId w:val="7"/>
  </w:num>
  <w:num w:numId="18" w16cid:durableId="11735647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embedSystemFonts/>
  <w:proofState w:spelling="clean" w:grammar="clean"/>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EBA"/>
    <w:rsid w:val="0000476C"/>
    <w:rsid w:val="00013493"/>
    <w:rsid w:val="00017E12"/>
    <w:rsid w:val="0002659B"/>
    <w:rsid w:val="0002669D"/>
    <w:rsid w:val="000319D6"/>
    <w:rsid w:val="0003205E"/>
    <w:rsid w:val="000464BC"/>
    <w:rsid w:val="0005513C"/>
    <w:rsid w:val="0007484F"/>
    <w:rsid w:val="000774C1"/>
    <w:rsid w:val="00080312"/>
    <w:rsid w:val="00083A1D"/>
    <w:rsid w:val="000C0DA1"/>
    <w:rsid w:val="000D17F1"/>
    <w:rsid w:val="000D4000"/>
    <w:rsid w:val="000D73B3"/>
    <w:rsid w:val="000E2EC4"/>
    <w:rsid w:val="000E311A"/>
    <w:rsid w:val="000E3642"/>
    <w:rsid w:val="000E374F"/>
    <w:rsid w:val="000E6E26"/>
    <w:rsid w:val="000E738A"/>
    <w:rsid w:val="000F1DDA"/>
    <w:rsid w:val="000F21AC"/>
    <w:rsid w:val="000F5FF4"/>
    <w:rsid w:val="00102C63"/>
    <w:rsid w:val="00112288"/>
    <w:rsid w:val="00112AD6"/>
    <w:rsid w:val="0011433F"/>
    <w:rsid w:val="0011512E"/>
    <w:rsid w:val="001175E3"/>
    <w:rsid w:val="00131700"/>
    <w:rsid w:val="00135A34"/>
    <w:rsid w:val="0014038A"/>
    <w:rsid w:val="00142427"/>
    <w:rsid w:val="00145983"/>
    <w:rsid w:val="00164434"/>
    <w:rsid w:val="0017418D"/>
    <w:rsid w:val="00174DE0"/>
    <w:rsid w:val="0018186E"/>
    <w:rsid w:val="0018691A"/>
    <w:rsid w:val="00191B3C"/>
    <w:rsid w:val="00195C1D"/>
    <w:rsid w:val="0019643F"/>
    <w:rsid w:val="001B565D"/>
    <w:rsid w:val="001C4AEE"/>
    <w:rsid w:val="001D1EED"/>
    <w:rsid w:val="001D3091"/>
    <w:rsid w:val="001D690D"/>
    <w:rsid w:val="001E06D4"/>
    <w:rsid w:val="001E4E80"/>
    <w:rsid w:val="001E786C"/>
    <w:rsid w:val="001F1FB7"/>
    <w:rsid w:val="001F4E82"/>
    <w:rsid w:val="001F76D1"/>
    <w:rsid w:val="002072B2"/>
    <w:rsid w:val="00210467"/>
    <w:rsid w:val="0021564A"/>
    <w:rsid w:val="00216A47"/>
    <w:rsid w:val="0021763D"/>
    <w:rsid w:val="0022686F"/>
    <w:rsid w:val="00233858"/>
    <w:rsid w:val="00235784"/>
    <w:rsid w:val="00237049"/>
    <w:rsid w:val="00242AB8"/>
    <w:rsid w:val="00243FFC"/>
    <w:rsid w:val="00247C15"/>
    <w:rsid w:val="00250F58"/>
    <w:rsid w:val="00253E5E"/>
    <w:rsid w:val="002574AD"/>
    <w:rsid w:val="00261A91"/>
    <w:rsid w:val="0026701A"/>
    <w:rsid w:val="00271212"/>
    <w:rsid w:val="002749ED"/>
    <w:rsid w:val="0028008E"/>
    <w:rsid w:val="00296B25"/>
    <w:rsid w:val="002A248F"/>
    <w:rsid w:val="002A50DA"/>
    <w:rsid w:val="002B5FBA"/>
    <w:rsid w:val="002D47F8"/>
    <w:rsid w:val="002D589B"/>
    <w:rsid w:val="002E1A4E"/>
    <w:rsid w:val="002E1EA5"/>
    <w:rsid w:val="002E5422"/>
    <w:rsid w:val="002E6537"/>
    <w:rsid w:val="002E77F8"/>
    <w:rsid w:val="002F137E"/>
    <w:rsid w:val="002F5FBB"/>
    <w:rsid w:val="003044C9"/>
    <w:rsid w:val="003077C9"/>
    <w:rsid w:val="00337DB0"/>
    <w:rsid w:val="0034223D"/>
    <w:rsid w:val="00350C0A"/>
    <w:rsid w:val="003539EA"/>
    <w:rsid w:val="00360FF7"/>
    <w:rsid w:val="00362A4D"/>
    <w:rsid w:val="00364454"/>
    <w:rsid w:val="00371625"/>
    <w:rsid w:val="00377A7E"/>
    <w:rsid w:val="00377D8C"/>
    <w:rsid w:val="00382E70"/>
    <w:rsid w:val="00386BC3"/>
    <w:rsid w:val="00396431"/>
    <w:rsid w:val="003A5B5E"/>
    <w:rsid w:val="003C1719"/>
    <w:rsid w:val="003C4969"/>
    <w:rsid w:val="003D49D9"/>
    <w:rsid w:val="003E1DC1"/>
    <w:rsid w:val="003E486A"/>
    <w:rsid w:val="004047B5"/>
    <w:rsid w:val="00414F63"/>
    <w:rsid w:val="0041672E"/>
    <w:rsid w:val="0041673A"/>
    <w:rsid w:val="00420634"/>
    <w:rsid w:val="004207EE"/>
    <w:rsid w:val="004313FA"/>
    <w:rsid w:val="00432987"/>
    <w:rsid w:val="004362F9"/>
    <w:rsid w:val="004428DA"/>
    <w:rsid w:val="00443B57"/>
    <w:rsid w:val="00454B05"/>
    <w:rsid w:val="00464759"/>
    <w:rsid w:val="00477E4A"/>
    <w:rsid w:val="004815A0"/>
    <w:rsid w:val="00481AF5"/>
    <w:rsid w:val="004824F6"/>
    <w:rsid w:val="00482F40"/>
    <w:rsid w:val="00484AE5"/>
    <w:rsid w:val="004A7010"/>
    <w:rsid w:val="004A7142"/>
    <w:rsid w:val="00507B97"/>
    <w:rsid w:val="005110F6"/>
    <w:rsid w:val="00511417"/>
    <w:rsid w:val="0051370C"/>
    <w:rsid w:val="00513C17"/>
    <w:rsid w:val="0051643D"/>
    <w:rsid w:val="00522A91"/>
    <w:rsid w:val="005260E1"/>
    <w:rsid w:val="005307E5"/>
    <w:rsid w:val="00536EF2"/>
    <w:rsid w:val="005516FD"/>
    <w:rsid w:val="00571EF1"/>
    <w:rsid w:val="005726F1"/>
    <w:rsid w:val="00574C7A"/>
    <w:rsid w:val="00577C4A"/>
    <w:rsid w:val="00581207"/>
    <w:rsid w:val="005963E4"/>
    <w:rsid w:val="005A502E"/>
    <w:rsid w:val="005A5225"/>
    <w:rsid w:val="005A6036"/>
    <w:rsid w:val="005A61E2"/>
    <w:rsid w:val="005B6059"/>
    <w:rsid w:val="005B62DB"/>
    <w:rsid w:val="005C330F"/>
    <w:rsid w:val="005C44C0"/>
    <w:rsid w:val="005C55C5"/>
    <w:rsid w:val="005D1BE4"/>
    <w:rsid w:val="005D2EBA"/>
    <w:rsid w:val="005D410F"/>
    <w:rsid w:val="005E3AB4"/>
    <w:rsid w:val="005F4A0C"/>
    <w:rsid w:val="006005A8"/>
    <w:rsid w:val="00606BE7"/>
    <w:rsid w:val="00620A4A"/>
    <w:rsid w:val="00622684"/>
    <w:rsid w:val="00624884"/>
    <w:rsid w:val="00631878"/>
    <w:rsid w:val="00632C82"/>
    <w:rsid w:val="00635FA1"/>
    <w:rsid w:val="006375AE"/>
    <w:rsid w:val="00642457"/>
    <w:rsid w:val="00653602"/>
    <w:rsid w:val="006737A1"/>
    <w:rsid w:val="006962E5"/>
    <w:rsid w:val="006A0A41"/>
    <w:rsid w:val="006B19D7"/>
    <w:rsid w:val="006B2DD5"/>
    <w:rsid w:val="006B4B84"/>
    <w:rsid w:val="006B61E5"/>
    <w:rsid w:val="006C0E55"/>
    <w:rsid w:val="006D2F0C"/>
    <w:rsid w:val="006D42A2"/>
    <w:rsid w:val="006E64E5"/>
    <w:rsid w:val="006F2DF8"/>
    <w:rsid w:val="006F60A2"/>
    <w:rsid w:val="00703E46"/>
    <w:rsid w:val="007203CF"/>
    <w:rsid w:val="007227A9"/>
    <w:rsid w:val="0072705E"/>
    <w:rsid w:val="00730CE0"/>
    <w:rsid w:val="00733034"/>
    <w:rsid w:val="00735972"/>
    <w:rsid w:val="00735A64"/>
    <w:rsid w:val="00760FB3"/>
    <w:rsid w:val="00770B6D"/>
    <w:rsid w:val="00776A36"/>
    <w:rsid w:val="00777D2F"/>
    <w:rsid w:val="00780100"/>
    <w:rsid w:val="0078183C"/>
    <w:rsid w:val="00791B90"/>
    <w:rsid w:val="007A09C0"/>
    <w:rsid w:val="007A17D4"/>
    <w:rsid w:val="007C347C"/>
    <w:rsid w:val="007D38D3"/>
    <w:rsid w:val="007D4AA0"/>
    <w:rsid w:val="007F35B5"/>
    <w:rsid w:val="007F70BA"/>
    <w:rsid w:val="00801EA3"/>
    <w:rsid w:val="00802490"/>
    <w:rsid w:val="00805F0E"/>
    <w:rsid w:val="00810E00"/>
    <w:rsid w:val="0081258E"/>
    <w:rsid w:val="00814B7E"/>
    <w:rsid w:val="0083008F"/>
    <w:rsid w:val="00830B34"/>
    <w:rsid w:val="0083229F"/>
    <w:rsid w:val="00843A55"/>
    <w:rsid w:val="00844204"/>
    <w:rsid w:val="00850BC4"/>
    <w:rsid w:val="00857CAF"/>
    <w:rsid w:val="00862137"/>
    <w:rsid w:val="0086385C"/>
    <w:rsid w:val="008663E5"/>
    <w:rsid w:val="008733B6"/>
    <w:rsid w:val="00874726"/>
    <w:rsid w:val="00880ABF"/>
    <w:rsid w:val="00880E5E"/>
    <w:rsid w:val="00890F5D"/>
    <w:rsid w:val="008A1812"/>
    <w:rsid w:val="008B6531"/>
    <w:rsid w:val="008C22CB"/>
    <w:rsid w:val="008C2B60"/>
    <w:rsid w:val="008C64F2"/>
    <w:rsid w:val="008C79F3"/>
    <w:rsid w:val="008D3508"/>
    <w:rsid w:val="008D46CD"/>
    <w:rsid w:val="008E234A"/>
    <w:rsid w:val="008E78A1"/>
    <w:rsid w:val="008F23CB"/>
    <w:rsid w:val="0090368F"/>
    <w:rsid w:val="009063CB"/>
    <w:rsid w:val="0091769B"/>
    <w:rsid w:val="0092484F"/>
    <w:rsid w:val="00932414"/>
    <w:rsid w:val="00940997"/>
    <w:rsid w:val="009474F7"/>
    <w:rsid w:val="009560D5"/>
    <w:rsid w:val="009648C2"/>
    <w:rsid w:val="009865FD"/>
    <w:rsid w:val="00986908"/>
    <w:rsid w:val="00995FC5"/>
    <w:rsid w:val="009A74D4"/>
    <w:rsid w:val="009A7DA5"/>
    <w:rsid w:val="009B28EE"/>
    <w:rsid w:val="009B582E"/>
    <w:rsid w:val="009C5B9F"/>
    <w:rsid w:val="009D26BC"/>
    <w:rsid w:val="009D4A8D"/>
    <w:rsid w:val="009E50CB"/>
    <w:rsid w:val="009E7E0A"/>
    <w:rsid w:val="009F14F1"/>
    <w:rsid w:val="00A111E2"/>
    <w:rsid w:val="00A15B22"/>
    <w:rsid w:val="00A22225"/>
    <w:rsid w:val="00A33966"/>
    <w:rsid w:val="00A437CD"/>
    <w:rsid w:val="00A565CA"/>
    <w:rsid w:val="00A778E2"/>
    <w:rsid w:val="00A86FAD"/>
    <w:rsid w:val="00A92EDA"/>
    <w:rsid w:val="00A97538"/>
    <w:rsid w:val="00AA409D"/>
    <w:rsid w:val="00AA7E6D"/>
    <w:rsid w:val="00AB17EE"/>
    <w:rsid w:val="00AB764B"/>
    <w:rsid w:val="00AC1D82"/>
    <w:rsid w:val="00AC4D09"/>
    <w:rsid w:val="00AC6FF3"/>
    <w:rsid w:val="00AD503F"/>
    <w:rsid w:val="00AE2D38"/>
    <w:rsid w:val="00AF3927"/>
    <w:rsid w:val="00AF6303"/>
    <w:rsid w:val="00B136D4"/>
    <w:rsid w:val="00B15E56"/>
    <w:rsid w:val="00B17D48"/>
    <w:rsid w:val="00B219D0"/>
    <w:rsid w:val="00B306A4"/>
    <w:rsid w:val="00B36A5E"/>
    <w:rsid w:val="00B41859"/>
    <w:rsid w:val="00B4405D"/>
    <w:rsid w:val="00B440E3"/>
    <w:rsid w:val="00B5227C"/>
    <w:rsid w:val="00B61245"/>
    <w:rsid w:val="00B655AD"/>
    <w:rsid w:val="00B65F02"/>
    <w:rsid w:val="00B7362F"/>
    <w:rsid w:val="00B814FC"/>
    <w:rsid w:val="00B866DD"/>
    <w:rsid w:val="00B92019"/>
    <w:rsid w:val="00B92BDF"/>
    <w:rsid w:val="00B9354E"/>
    <w:rsid w:val="00BD3E6E"/>
    <w:rsid w:val="00BF29DD"/>
    <w:rsid w:val="00BF2DF2"/>
    <w:rsid w:val="00BF4479"/>
    <w:rsid w:val="00BF6CEB"/>
    <w:rsid w:val="00C00DF2"/>
    <w:rsid w:val="00C05EB1"/>
    <w:rsid w:val="00C07CC1"/>
    <w:rsid w:val="00C32266"/>
    <w:rsid w:val="00C35A69"/>
    <w:rsid w:val="00C37D8F"/>
    <w:rsid w:val="00C53A06"/>
    <w:rsid w:val="00C54C20"/>
    <w:rsid w:val="00C56994"/>
    <w:rsid w:val="00C56A5D"/>
    <w:rsid w:val="00C60312"/>
    <w:rsid w:val="00C62A2D"/>
    <w:rsid w:val="00C65FA8"/>
    <w:rsid w:val="00C71E18"/>
    <w:rsid w:val="00C77609"/>
    <w:rsid w:val="00C8020F"/>
    <w:rsid w:val="00C81692"/>
    <w:rsid w:val="00C81C12"/>
    <w:rsid w:val="00C90411"/>
    <w:rsid w:val="00C9396A"/>
    <w:rsid w:val="00CA075D"/>
    <w:rsid w:val="00CD3EB6"/>
    <w:rsid w:val="00CD5BC7"/>
    <w:rsid w:val="00CD5EDC"/>
    <w:rsid w:val="00CD731C"/>
    <w:rsid w:val="00CE08DD"/>
    <w:rsid w:val="00CE32A9"/>
    <w:rsid w:val="00CF2A8D"/>
    <w:rsid w:val="00CF750D"/>
    <w:rsid w:val="00D1029A"/>
    <w:rsid w:val="00D22853"/>
    <w:rsid w:val="00D3478F"/>
    <w:rsid w:val="00D41DF1"/>
    <w:rsid w:val="00D43E49"/>
    <w:rsid w:val="00D47026"/>
    <w:rsid w:val="00D6075B"/>
    <w:rsid w:val="00D757C4"/>
    <w:rsid w:val="00D92C6B"/>
    <w:rsid w:val="00D95DF2"/>
    <w:rsid w:val="00DA05F6"/>
    <w:rsid w:val="00DC023F"/>
    <w:rsid w:val="00DC0826"/>
    <w:rsid w:val="00DC4648"/>
    <w:rsid w:val="00DF3DD3"/>
    <w:rsid w:val="00DF52F4"/>
    <w:rsid w:val="00E02E6F"/>
    <w:rsid w:val="00E14834"/>
    <w:rsid w:val="00E36CED"/>
    <w:rsid w:val="00E4424C"/>
    <w:rsid w:val="00E52C72"/>
    <w:rsid w:val="00E54B90"/>
    <w:rsid w:val="00E55C82"/>
    <w:rsid w:val="00E5652A"/>
    <w:rsid w:val="00E60478"/>
    <w:rsid w:val="00E618BF"/>
    <w:rsid w:val="00E650C1"/>
    <w:rsid w:val="00E65F23"/>
    <w:rsid w:val="00E71C23"/>
    <w:rsid w:val="00E72EA6"/>
    <w:rsid w:val="00E7664D"/>
    <w:rsid w:val="00E80496"/>
    <w:rsid w:val="00EB740E"/>
    <w:rsid w:val="00EC0FEE"/>
    <w:rsid w:val="00EC6598"/>
    <w:rsid w:val="00EE0400"/>
    <w:rsid w:val="00EE2C97"/>
    <w:rsid w:val="00EE3982"/>
    <w:rsid w:val="00EF2A14"/>
    <w:rsid w:val="00F13E69"/>
    <w:rsid w:val="00F141C8"/>
    <w:rsid w:val="00F220D8"/>
    <w:rsid w:val="00F25770"/>
    <w:rsid w:val="00F35757"/>
    <w:rsid w:val="00F35B04"/>
    <w:rsid w:val="00F47C94"/>
    <w:rsid w:val="00F6051E"/>
    <w:rsid w:val="00F664A1"/>
    <w:rsid w:val="00F71572"/>
    <w:rsid w:val="00F75D7D"/>
    <w:rsid w:val="00F84C92"/>
    <w:rsid w:val="00F870EB"/>
    <w:rsid w:val="00F95CC4"/>
    <w:rsid w:val="00FB3C70"/>
    <w:rsid w:val="00FB40B6"/>
    <w:rsid w:val="00FB6D91"/>
    <w:rsid w:val="00FC152C"/>
    <w:rsid w:val="00FC7897"/>
    <w:rsid w:val="00FC7AD5"/>
    <w:rsid w:val="00FC7AF3"/>
    <w:rsid w:val="00FD31CD"/>
    <w:rsid w:val="00FD41CC"/>
    <w:rsid w:val="00FD714E"/>
    <w:rsid w:val="00FE6ECA"/>
    <w:rsid w:val="00FF192E"/>
    <w:rsid w:val="00FF3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4A76AF"/>
  <w15:docId w15:val="{12A66B00-F5F4-4BCE-B0D4-96F8B5D8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7B5"/>
    <w:rPr>
      <w:sz w:val="24"/>
      <w:szCs w:val="24"/>
    </w:rPr>
  </w:style>
  <w:style w:type="paragraph" w:styleId="Heading2">
    <w:name w:val="heading 2"/>
    <w:basedOn w:val="Normal"/>
    <w:next w:val="Normal"/>
    <w:link w:val="Heading2Char"/>
    <w:unhideWhenUsed/>
    <w:qFormat/>
    <w:locked/>
    <w:rsid w:val="000320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D2EB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D2EBA"/>
    <w:pPr>
      <w:ind w:left="720"/>
      <w:contextualSpacing/>
    </w:pPr>
  </w:style>
  <w:style w:type="table" w:styleId="MediumShading1-Accent2">
    <w:name w:val="Medium Shading 1 Accent 2"/>
    <w:basedOn w:val="TableNormal"/>
    <w:uiPriority w:val="99"/>
    <w:rsid w:val="00E650C1"/>
    <w:rPr>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styleId="Header">
    <w:name w:val="header"/>
    <w:basedOn w:val="Normal"/>
    <w:link w:val="HeaderChar"/>
    <w:uiPriority w:val="99"/>
    <w:rsid w:val="0078183C"/>
    <w:pPr>
      <w:tabs>
        <w:tab w:val="center" w:pos="4320"/>
        <w:tab w:val="right" w:pos="8640"/>
      </w:tabs>
    </w:pPr>
  </w:style>
  <w:style w:type="character" w:customStyle="1" w:styleId="HeaderChar">
    <w:name w:val="Header Char"/>
    <w:basedOn w:val="DefaultParagraphFont"/>
    <w:link w:val="Header"/>
    <w:uiPriority w:val="99"/>
    <w:locked/>
    <w:rsid w:val="005A61E2"/>
    <w:rPr>
      <w:rFonts w:cs="Times New Roman"/>
      <w:sz w:val="24"/>
      <w:szCs w:val="24"/>
    </w:rPr>
  </w:style>
  <w:style w:type="paragraph" w:styleId="Footer">
    <w:name w:val="footer"/>
    <w:basedOn w:val="Normal"/>
    <w:link w:val="FooterChar"/>
    <w:uiPriority w:val="99"/>
    <w:rsid w:val="0078183C"/>
    <w:pPr>
      <w:tabs>
        <w:tab w:val="center" w:pos="4320"/>
        <w:tab w:val="right" w:pos="8640"/>
      </w:tabs>
    </w:pPr>
  </w:style>
  <w:style w:type="character" w:customStyle="1" w:styleId="FooterChar">
    <w:name w:val="Footer Char"/>
    <w:basedOn w:val="DefaultParagraphFont"/>
    <w:link w:val="Footer"/>
    <w:uiPriority w:val="99"/>
    <w:semiHidden/>
    <w:locked/>
    <w:rsid w:val="005A61E2"/>
    <w:rPr>
      <w:rFonts w:cs="Times New Roman"/>
      <w:sz w:val="24"/>
      <w:szCs w:val="24"/>
    </w:rPr>
  </w:style>
  <w:style w:type="paragraph" w:styleId="BalloonText">
    <w:name w:val="Balloon Text"/>
    <w:basedOn w:val="Normal"/>
    <w:link w:val="BalloonTextChar"/>
    <w:uiPriority w:val="99"/>
    <w:semiHidden/>
    <w:unhideWhenUsed/>
    <w:rsid w:val="0011433F"/>
    <w:rPr>
      <w:rFonts w:ascii="Tahoma" w:hAnsi="Tahoma" w:cs="Tahoma"/>
      <w:sz w:val="16"/>
      <w:szCs w:val="16"/>
    </w:rPr>
  </w:style>
  <w:style w:type="character" w:customStyle="1" w:styleId="BalloonTextChar">
    <w:name w:val="Balloon Text Char"/>
    <w:basedOn w:val="DefaultParagraphFont"/>
    <w:link w:val="BalloonText"/>
    <w:uiPriority w:val="99"/>
    <w:semiHidden/>
    <w:rsid w:val="0011433F"/>
    <w:rPr>
      <w:rFonts w:ascii="Tahoma" w:hAnsi="Tahoma" w:cs="Tahoma"/>
      <w:sz w:val="16"/>
      <w:szCs w:val="16"/>
    </w:rPr>
  </w:style>
  <w:style w:type="character" w:customStyle="1" w:styleId="Heading2Char">
    <w:name w:val="Heading 2 Char"/>
    <w:basedOn w:val="DefaultParagraphFont"/>
    <w:link w:val="Heading2"/>
    <w:rsid w:val="0003205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EB74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42379">
      <w:bodyDiv w:val="1"/>
      <w:marLeft w:val="0"/>
      <w:marRight w:val="0"/>
      <w:marTop w:val="0"/>
      <w:marBottom w:val="0"/>
      <w:divBdr>
        <w:top w:val="none" w:sz="0" w:space="0" w:color="auto"/>
        <w:left w:val="none" w:sz="0" w:space="0" w:color="auto"/>
        <w:bottom w:val="none" w:sz="0" w:space="0" w:color="auto"/>
        <w:right w:val="none" w:sz="0" w:space="0" w:color="auto"/>
      </w:divBdr>
    </w:div>
    <w:div w:id="534393615">
      <w:bodyDiv w:val="1"/>
      <w:marLeft w:val="0"/>
      <w:marRight w:val="0"/>
      <w:marTop w:val="0"/>
      <w:marBottom w:val="0"/>
      <w:divBdr>
        <w:top w:val="none" w:sz="0" w:space="0" w:color="auto"/>
        <w:left w:val="none" w:sz="0" w:space="0" w:color="auto"/>
        <w:bottom w:val="none" w:sz="0" w:space="0" w:color="auto"/>
        <w:right w:val="none" w:sz="0" w:space="0" w:color="auto"/>
      </w:divBdr>
    </w:div>
    <w:div w:id="992877659">
      <w:bodyDiv w:val="1"/>
      <w:marLeft w:val="0"/>
      <w:marRight w:val="0"/>
      <w:marTop w:val="0"/>
      <w:marBottom w:val="0"/>
      <w:divBdr>
        <w:top w:val="none" w:sz="0" w:space="0" w:color="auto"/>
        <w:left w:val="none" w:sz="0" w:space="0" w:color="auto"/>
        <w:bottom w:val="none" w:sz="0" w:space="0" w:color="auto"/>
        <w:right w:val="none" w:sz="0" w:space="0" w:color="auto"/>
      </w:divBdr>
    </w:div>
    <w:div w:id="1035959835">
      <w:bodyDiv w:val="1"/>
      <w:marLeft w:val="0"/>
      <w:marRight w:val="0"/>
      <w:marTop w:val="0"/>
      <w:marBottom w:val="0"/>
      <w:divBdr>
        <w:top w:val="none" w:sz="0" w:space="0" w:color="auto"/>
        <w:left w:val="none" w:sz="0" w:space="0" w:color="auto"/>
        <w:bottom w:val="none" w:sz="0" w:space="0" w:color="auto"/>
        <w:right w:val="none" w:sz="0" w:space="0" w:color="auto"/>
      </w:divBdr>
    </w:div>
    <w:div w:id="1250503827">
      <w:bodyDiv w:val="1"/>
      <w:marLeft w:val="0"/>
      <w:marRight w:val="0"/>
      <w:marTop w:val="0"/>
      <w:marBottom w:val="0"/>
      <w:divBdr>
        <w:top w:val="none" w:sz="0" w:space="0" w:color="auto"/>
        <w:left w:val="none" w:sz="0" w:space="0" w:color="auto"/>
        <w:bottom w:val="none" w:sz="0" w:space="0" w:color="auto"/>
        <w:right w:val="none" w:sz="0" w:space="0" w:color="auto"/>
      </w:divBdr>
    </w:div>
    <w:div w:id="144634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CB5E9-9583-4F3E-98CF-7BAB1A4C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LATTC</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Tom</dc:creator>
  <cp:keywords/>
  <dc:description/>
  <cp:lastModifiedBy>Amanda Lake</cp:lastModifiedBy>
  <cp:revision>2</cp:revision>
  <cp:lastPrinted>2020-11-19T19:50:00Z</cp:lastPrinted>
  <dcterms:created xsi:type="dcterms:W3CDTF">2022-04-12T00:35:00Z</dcterms:created>
  <dcterms:modified xsi:type="dcterms:W3CDTF">2022-04-12T00:35:00Z</dcterms:modified>
</cp:coreProperties>
</file>